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1681" w14:textId="77777777" w:rsidR="000D3CE5" w:rsidRPr="00EC79EA" w:rsidRDefault="00FF18C2" w:rsidP="00EC79EA">
      <w:pPr>
        <w:pStyle w:val="Heading4"/>
        <w:keepNext w:val="0"/>
        <w:spacing w:before="0" w:after="0"/>
        <w:jc w:val="center"/>
        <w:rPr>
          <w:color w:val="000000"/>
          <w:sz w:val="24"/>
          <w:szCs w:val="24"/>
        </w:rPr>
      </w:pPr>
      <w:bookmarkStart w:id="0" w:name="_GoBack"/>
      <w:bookmarkEnd w:id="0"/>
      <w:r w:rsidRPr="00EC79EA">
        <w:rPr>
          <w:rStyle w:val="MessageHeaderLabel"/>
          <w:rFonts w:ascii="Times New Roman" w:hAnsi="Times New Roman"/>
          <w:sz w:val="24"/>
          <w:szCs w:val="24"/>
        </w:rPr>
        <w:t>THE INTERNATIONAL CADMIUM ASSOCIATION</w:t>
      </w:r>
    </w:p>
    <w:p w14:paraId="1F5FFA5A" w14:textId="77777777" w:rsidR="000D3CE5" w:rsidRPr="00EC79EA" w:rsidRDefault="00FF18C2" w:rsidP="00EC79EA">
      <w:pPr>
        <w:jc w:val="center"/>
        <w:rPr>
          <w:b/>
          <w:color w:val="000000"/>
        </w:rPr>
      </w:pPr>
      <w:r w:rsidRPr="00EC79EA">
        <w:rPr>
          <w:b/>
          <w:color w:val="000000"/>
        </w:rPr>
        <w:t>REGULATORY UPDATE</w:t>
      </w:r>
    </w:p>
    <w:p w14:paraId="40141DF8" w14:textId="77777777" w:rsidR="000D3CE5" w:rsidRPr="00EC79EA" w:rsidRDefault="000D3CE5" w:rsidP="00EC79EA">
      <w:pPr>
        <w:rPr>
          <w:color w:val="000000"/>
        </w:rPr>
      </w:pPr>
    </w:p>
    <w:p w14:paraId="5ECE93AD" w14:textId="77777777" w:rsidR="000D3CE5" w:rsidRPr="00EC79EA" w:rsidRDefault="00FF18C2" w:rsidP="00EC79EA">
      <w:pPr>
        <w:jc w:val="center"/>
        <w:rPr>
          <w:b/>
          <w:color w:val="000000"/>
        </w:rPr>
      </w:pPr>
      <w:r w:rsidRPr="00EC79EA">
        <w:rPr>
          <w:b/>
          <w:color w:val="000000"/>
        </w:rPr>
        <w:t>March 28, 2018</w:t>
      </w:r>
      <w:r w:rsidRPr="00EC79EA">
        <w:rPr>
          <w:rStyle w:val="FootnoteReference"/>
          <w:vertAlign w:val="superscript"/>
        </w:rPr>
        <w:footnoteReference w:id="1"/>
      </w:r>
    </w:p>
    <w:p w14:paraId="360432DC" w14:textId="77777777" w:rsidR="000D3CE5" w:rsidRPr="00EC79EA" w:rsidRDefault="00FF18C2" w:rsidP="00EC79EA">
      <w:pPr>
        <w:rPr>
          <w:color w:val="000000"/>
        </w:rPr>
      </w:pPr>
      <w:r w:rsidRPr="00EC79EA">
        <w:rPr>
          <w:color w:val="000000"/>
        </w:rPr>
        <w:t xml:space="preserve">______________________________________________________________________________  </w:t>
      </w:r>
    </w:p>
    <w:p w14:paraId="5A1FE1AF" w14:textId="77777777" w:rsidR="000D3CE5" w:rsidRPr="00EC79EA" w:rsidRDefault="000D3CE5" w:rsidP="00EC79EA"/>
    <w:p w14:paraId="1421E685" w14:textId="77777777" w:rsidR="000D3CE5" w:rsidRPr="00EC79EA" w:rsidRDefault="00FF18C2" w:rsidP="00EC79EA">
      <w:pPr>
        <w:pStyle w:val="Heading1"/>
        <w:keepNext w:val="0"/>
      </w:pPr>
      <w:r w:rsidRPr="00EC79EA">
        <w:t>NEW DEVELOPMENTS</w:t>
      </w:r>
    </w:p>
    <w:p w14:paraId="73953E07" w14:textId="77777777" w:rsidR="000D3CE5" w:rsidRPr="00EC79EA" w:rsidRDefault="000D3CE5" w:rsidP="00EC79EA"/>
    <w:p w14:paraId="3F7977D9" w14:textId="77777777" w:rsidR="000D3CE5" w:rsidRPr="00EC79EA" w:rsidRDefault="00FF18C2" w:rsidP="00EC79EA">
      <w:r w:rsidRPr="00EC79EA">
        <w:t>New information is available on the following issues in this Update:</w:t>
      </w:r>
    </w:p>
    <w:p w14:paraId="31F7897D" w14:textId="77777777" w:rsidR="000D3CE5" w:rsidRPr="00EC79EA" w:rsidRDefault="000D3CE5" w:rsidP="00EC79EA"/>
    <w:p w14:paraId="00624918" w14:textId="77777777" w:rsidR="00E62816" w:rsidRPr="00EC79EA" w:rsidRDefault="00E62816" w:rsidP="00EC79EA">
      <w:pPr>
        <w:pStyle w:val="NormalWeb"/>
        <w:spacing w:before="0" w:beforeAutospacing="0" w:after="0" w:afterAutospacing="0"/>
        <w:ind w:left="720"/>
        <w:jc w:val="both"/>
        <w:rPr>
          <w:rFonts w:ascii="Times New Roman" w:hAnsi="Times New Roman" w:cs="Times New Roman"/>
        </w:rPr>
      </w:pPr>
      <w:r w:rsidRPr="00EC79EA">
        <w:rPr>
          <w:rFonts w:ascii="Times New Roman" w:hAnsi="Times New Roman" w:cs="Times New Roman"/>
        </w:rPr>
        <w:t>Federal Issues</w:t>
      </w:r>
    </w:p>
    <w:p w14:paraId="559AD889" w14:textId="77777777" w:rsidR="00E62816" w:rsidRPr="00EC79EA" w:rsidRDefault="00E62816" w:rsidP="00EC79EA">
      <w:pPr>
        <w:pStyle w:val="BodyText"/>
        <w:spacing w:after="0"/>
        <w:ind w:left="720"/>
        <w:jc w:val="both"/>
      </w:pPr>
    </w:p>
    <w:p w14:paraId="3071F02A" w14:textId="77777777" w:rsidR="00E62816" w:rsidRPr="00EC79EA" w:rsidRDefault="00E62816" w:rsidP="00EC79EA">
      <w:pPr>
        <w:ind w:left="1440"/>
      </w:pPr>
      <w:r w:rsidRPr="00EC79EA">
        <w:t>CERCLA Issues</w:t>
      </w:r>
    </w:p>
    <w:p w14:paraId="1E174ECE" w14:textId="77777777" w:rsidR="00E62816" w:rsidRPr="00EC79EA" w:rsidRDefault="00E62816" w:rsidP="00EC79EA">
      <w:pPr>
        <w:ind w:left="1440"/>
      </w:pPr>
    </w:p>
    <w:p w14:paraId="7F36FC9D" w14:textId="77777777" w:rsidR="00E62816" w:rsidRPr="00EC79EA" w:rsidRDefault="00E62816" w:rsidP="00EC79EA">
      <w:pPr>
        <w:ind w:left="2160"/>
      </w:pPr>
      <w:r w:rsidRPr="00EC79EA">
        <w:t xml:space="preserve">EPA Publishes Decision Not </w:t>
      </w:r>
      <w:proofErr w:type="gramStart"/>
      <w:r w:rsidRPr="00EC79EA">
        <w:t>To</w:t>
      </w:r>
      <w:proofErr w:type="gramEnd"/>
      <w:r w:rsidRPr="00EC79EA">
        <w:t xml:space="preserve"> Proceed With Final Rule Regarding Financial Responsibility Requirements For Hardrock Mining Industry</w:t>
      </w:r>
      <w:r w:rsidR="00261F35">
        <w:t>, page 3</w:t>
      </w:r>
    </w:p>
    <w:p w14:paraId="7B8613AF" w14:textId="77777777" w:rsidR="00E62816" w:rsidRPr="00EC79EA" w:rsidRDefault="00E62816" w:rsidP="00EC79EA">
      <w:pPr>
        <w:ind w:left="1440"/>
      </w:pPr>
    </w:p>
    <w:p w14:paraId="61AE1C21" w14:textId="77777777" w:rsidR="00E62816" w:rsidRPr="00EC79EA" w:rsidRDefault="00E62816" w:rsidP="00EC79EA">
      <w:pPr>
        <w:widowControl/>
        <w:ind w:left="1440"/>
      </w:pPr>
      <w:r w:rsidRPr="00EC79EA">
        <w:t>EPCRA Issues</w:t>
      </w:r>
    </w:p>
    <w:p w14:paraId="6F7A0C0E" w14:textId="77777777" w:rsidR="00E62816" w:rsidRPr="00EC79EA" w:rsidRDefault="00E62816" w:rsidP="00EC79EA">
      <w:pPr>
        <w:widowControl/>
        <w:ind w:left="1440"/>
      </w:pPr>
    </w:p>
    <w:p w14:paraId="382D6EC5" w14:textId="77777777" w:rsidR="00E62816" w:rsidRPr="00EC79EA" w:rsidRDefault="00E62816" w:rsidP="00EC79EA">
      <w:pPr>
        <w:ind w:left="2160"/>
      </w:pPr>
      <w:r w:rsidRPr="00EC79EA">
        <w:t>EPA Publishes 2016 TRI National Analysis, Holds Webinar</w:t>
      </w:r>
      <w:r w:rsidR="00261F35">
        <w:t>, page 3</w:t>
      </w:r>
    </w:p>
    <w:p w14:paraId="41FF54CE" w14:textId="77777777" w:rsidR="00E62816" w:rsidRPr="00EC79EA" w:rsidRDefault="00E62816" w:rsidP="00EC79EA">
      <w:pPr>
        <w:ind w:left="1440"/>
      </w:pPr>
    </w:p>
    <w:p w14:paraId="7B65497C" w14:textId="77777777" w:rsidR="00E62816" w:rsidRPr="00EC79EA" w:rsidRDefault="00E62816" w:rsidP="00EC79EA">
      <w:pPr>
        <w:widowControl/>
        <w:ind w:left="1440"/>
      </w:pPr>
      <w:r w:rsidRPr="00EC79EA">
        <w:t xml:space="preserve">Mining </w:t>
      </w:r>
      <w:proofErr w:type="gramStart"/>
      <w:r w:rsidRPr="00EC79EA">
        <w:t>And</w:t>
      </w:r>
      <w:proofErr w:type="gramEnd"/>
      <w:r w:rsidRPr="00EC79EA">
        <w:t xml:space="preserve"> Mineral Issues</w:t>
      </w:r>
    </w:p>
    <w:p w14:paraId="77C11467" w14:textId="77777777" w:rsidR="00E62816" w:rsidRPr="00EC79EA" w:rsidRDefault="00E62816" w:rsidP="00EC79EA">
      <w:pPr>
        <w:widowControl/>
        <w:ind w:left="1440"/>
      </w:pPr>
    </w:p>
    <w:p w14:paraId="4538A516" w14:textId="77777777" w:rsidR="00E62816" w:rsidRPr="00EC79EA" w:rsidRDefault="00E62816" w:rsidP="00EC79EA">
      <w:pPr>
        <w:ind w:left="2160"/>
      </w:pPr>
      <w:r w:rsidRPr="00EC79EA">
        <w:t xml:space="preserve">House Committee Reviews, Passes National Strategic </w:t>
      </w:r>
      <w:proofErr w:type="gramStart"/>
      <w:r w:rsidRPr="00EC79EA">
        <w:t>And</w:t>
      </w:r>
      <w:proofErr w:type="gramEnd"/>
      <w:r w:rsidRPr="00EC79EA">
        <w:t xml:space="preserve"> Critical Minerals Production Act</w:t>
      </w:r>
      <w:r w:rsidR="00261F35">
        <w:t>, page 4</w:t>
      </w:r>
    </w:p>
    <w:p w14:paraId="29220599" w14:textId="77777777" w:rsidR="00E62816" w:rsidRPr="00EC79EA" w:rsidRDefault="00E62816" w:rsidP="00EC79EA">
      <w:pPr>
        <w:ind w:left="1440"/>
      </w:pPr>
    </w:p>
    <w:p w14:paraId="193D98CC" w14:textId="77777777" w:rsidR="00E62816" w:rsidRPr="00EC79EA" w:rsidRDefault="00E62816" w:rsidP="00EC79EA">
      <w:pPr>
        <w:ind w:left="2160"/>
      </w:pPr>
      <w:r w:rsidRPr="00EC79EA">
        <w:t xml:space="preserve">MSHA Will Step Up Efforts </w:t>
      </w:r>
      <w:proofErr w:type="gramStart"/>
      <w:r w:rsidRPr="00EC79EA">
        <w:t>To</w:t>
      </w:r>
      <w:proofErr w:type="gramEnd"/>
      <w:r w:rsidRPr="00EC79EA">
        <w:t xml:space="preserve"> Collect Unpaid Safety Fines, page</w:t>
      </w:r>
      <w:r w:rsidR="00261F35">
        <w:t xml:space="preserve"> 5</w:t>
      </w:r>
    </w:p>
    <w:p w14:paraId="6B1B9842" w14:textId="77777777" w:rsidR="00E62816" w:rsidRPr="00EC79EA" w:rsidRDefault="00E62816" w:rsidP="00EC79EA">
      <w:pPr>
        <w:ind w:left="2160"/>
      </w:pPr>
    </w:p>
    <w:p w14:paraId="1CAD0720" w14:textId="77777777" w:rsidR="00E62816" w:rsidRPr="00EC79EA" w:rsidRDefault="00E62816" w:rsidP="00EC79EA">
      <w:pPr>
        <w:ind w:left="2160"/>
      </w:pPr>
      <w:r w:rsidRPr="00EC79EA">
        <w:t xml:space="preserve">House Subcommittee Holds Oversight Hearing on Abandoned Hardrock Mines </w:t>
      </w:r>
      <w:proofErr w:type="gramStart"/>
      <w:r w:rsidRPr="00EC79EA">
        <w:t>And</w:t>
      </w:r>
      <w:proofErr w:type="gramEnd"/>
      <w:r w:rsidRPr="00EC79EA">
        <w:t xml:space="preserve"> The Role Of Non-Governmental Entities, page</w:t>
      </w:r>
      <w:r w:rsidR="00261F35">
        <w:t xml:space="preserve"> 5</w:t>
      </w:r>
    </w:p>
    <w:p w14:paraId="34F726E0" w14:textId="77777777" w:rsidR="00E62816" w:rsidRPr="00EC79EA" w:rsidRDefault="00E62816" w:rsidP="00EC79EA">
      <w:pPr>
        <w:ind w:left="1440"/>
      </w:pPr>
    </w:p>
    <w:p w14:paraId="089B2776" w14:textId="77777777" w:rsidR="00E62816" w:rsidRPr="00EC79EA" w:rsidRDefault="00E62816" w:rsidP="00EC79EA">
      <w:pPr>
        <w:widowControl/>
        <w:ind w:left="1440"/>
      </w:pPr>
      <w:r w:rsidRPr="00EC79EA">
        <w:t>TSCA Issues</w:t>
      </w:r>
    </w:p>
    <w:p w14:paraId="4345834D" w14:textId="77777777" w:rsidR="00E62816" w:rsidRPr="00EC79EA" w:rsidRDefault="00E62816" w:rsidP="00EC79EA">
      <w:pPr>
        <w:widowControl/>
        <w:ind w:left="1440"/>
      </w:pPr>
    </w:p>
    <w:p w14:paraId="5CCB0BF8" w14:textId="77777777" w:rsidR="00E62816" w:rsidRPr="00EC79EA" w:rsidRDefault="00E62816" w:rsidP="00EC79EA">
      <w:pPr>
        <w:widowControl/>
        <w:ind w:left="2160"/>
      </w:pPr>
      <w:r w:rsidRPr="00EC79EA">
        <w:t xml:space="preserve">EPA Publishes 2018 Plan </w:t>
      </w:r>
      <w:proofErr w:type="gramStart"/>
      <w:r w:rsidRPr="00EC79EA">
        <w:t>For</w:t>
      </w:r>
      <w:proofErr w:type="gramEnd"/>
      <w:r w:rsidRPr="00EC79EA">
        <w:t xml:space="preserve"> Chemical Risk Evaluations Under TSCA, page</w:t>
      </w:r>
      <w:r w:rsidR="00261F35">
        <w:t xml:space="preserve"> 6</w:t>
      </w:r>
    </w:p>
    <w:p w14:paraId="7497119E" w14:textId="77777777" w:rsidR="00E62816" w:rsidRPr="00EC79EA" w:rsidRDefault="00E62816" w:rsidP="00EC79EA">
      <w:pPr>
        <w:widowControl/>
        <w:ind w:left="2160"/>
      </w:pPr>
    </w:p>
    <w:p w14:paraId="628BC325" w14:textId="77777777" w:rsidR="00E62816" w:rsidRPr="00EC79EA" w:rsidRDefault="00E62816" w:rsidP="00EC79EA">
      <w:pPr>
        <w:keepNext/>
        <w:keepLines/>
        <w:widowControl/>
        <w:ind w:left="2160"/>
      </w:pPr>
      <w:r w:rsidRPr="00EC79EA">
        <w:lastRenderedPageBreak/>
        <w:t xml:space="preserve">EPA Seeks Comment </w:t>
      </w:r>
      <w:proofErr w:type="gramStart"/>
      <w:r w:rsidRPr="00EC79EA">
        <w:t>On</w:t>
      </w:r>
      <w:proofErr w:type="gramEnd"/>
      <w:r w:rsidRPr="00EC79EA">
        <w:t xml:space="preserve"> Third Approach For Assigning And Applying UIDs, page</w:t>
      </w:r>
      <w:r w:rsidR="00261F35">
        <w:t xml:space="preserve"> 7</w:t>
      </w:r>
    </w:p>
    <w:p w14:paraId="26CA603F" w14:textId="77777777" w:rsidR="00E62816" w:rsidRPr="00EC79EA" w:rsidRDefault="00E62816" w:rsidP="00EC79EA">
      <w:pPr>
        <w:keepNext/>
        <w:keepLines/>
        <w:widowControl/>
        <w:ind w:left="2160"/>
      </w:pPr>
    </w:p>
    <w:p w14:paraId="3CDB29C1" w14:textId="77777777" w:rsidR="00E62816" w:rsidRPr="00EC79EA" w:rsidRDefault="00E62816" w:rsidP="00EC79EA">
      <w:pPr>
        <w:ind w:left="2160"/>
      </w:pPr>
      <w:r w:rsidRPr="00C1727E">
        <w:rPr>
          <w:highlight w:val="yellow"/>
        </w:rPr>
        <w:t xml:space="preserve">EPA Issues Proposed Rule Concerning User Fees </w:t>
      </w:r>
      <w:proofErr w:type="gramStart"/>
      <w:r w:rsidRPr="00C1727E">
        <w:rPr>
          <w:highlight w:val="yellow"/>
        </w:rPr>
        <w:t>For</w:t>
      </w:r>
      <w:proofErr w:type="gramEnd"/>
      <w:r w:rsidRPr="00C1727E">
        <w:rPr>
          <w:highlight w:val="yellow"/>
        </w:rPr>
        <w:t xml:space="preserve"> The Administration Of TSCA, page</w:t>
      </w:r>
      <w:r w:rsidR="00261F35" w:rsidRPr="00C1727E">
        <w:rPr>
          <w:highlight w:val="yellow"/>
        </w:rPr>
        <w:t xml:space="preserve"> 7</w:t>
      </w:r>
    </w:p>
    <w:p w14:paraId="3EDD94EC" w14:textId="77777777" w:rsidR="00E62816" w:rsidRPr="00EC79EA" w:rsidRDefault="00E62816" w:rsidP="00EC79EA">
      <w:pPr>
        <w:ind w:left="1440"/>
      </w:pPr>
    </w:p>
    <w:p w14:paraId="55A70A55" w14:textId="77777777" w:rsidR="00E62816" w:rsidRPr="00EC79EA" w:rsidRDefault="00E62816" w:rsidP="00EC79EA">
      <w:pPr>
        <w:widowControl/>
        <w:ind w:left="1440"/>
      </w:pPr>
      <w:r w:rsidRPr="00EC79EA">
        <w:t>Miscellaneous Issues</w:t>
      </w:r>
    </w:p>
    <w:p w14:paraId="04444E9A" w14:textId="77777777" w:rsidR="00E62816" w:rsidRPr="00EC79EA" w:rsidRDefault="00E62816" w:rsidP="00EC79EA">
      <w:pPr>
        <w:ind w:left="1440"/>
      </w:pPr>
    </w:p>
    <w:p w14:paraId="4B8816C1" w14:textId="77777777" w:rsidR="00E62816" w:rsidRPr="00EC79EA" w:rsidRDefault="00E62816" w:rsidP="00EC79EA">
      <w:pPr>
        <w:ind w:left="2160"/>
      </w:pPr>
      <w:r w:rsidRPr="00C1727E">
        <w:rPr>
          <w:highlight w:val="yellow"/>
        </w:rPr>
        <w:t xml:space="preserve">Pruitt Outlines New Restrictions </w:t>
      </w:r>
      <w:proofErr w:type="gramStart"/>
      <w:r w:rsidRPr="00C1727E">
        <w:rPr>
          <w:highlight w:val="yellow"/>
        </w:rPr>
        <w:t>On</w:t>
      </w:r>
      <w:proofErr w:type="gramEnd"/>
      <w:r w:rsidRPr="00C1727E">
        <w:rPr>
          <w:highlight w:val="yellow"/>
        </w:rPr>
        <w:t xml:space="preserve"> Science Used In Rulemaking, page</w:t>
      </w:r>
      <w:r w:rsidR="00261F35" w:rsidRPr="00C1727E">
        <w:rPr>
          <w:highlight w:val="yellow"/>
        </w:rPr>
        <w:t xml:space="preserve"> 8</w:t>
      </w:r>
    </w:p>
    <w:p w14:paraId="3EDDB56B" w14:textId="77777777" w:rsidR="00E62816" w:rsidRPr="00EC79EA" w:rsidRDefault="00E62816" w:rsidP="00EC79EA">
      <w:pPr>
        <w:ind w:left="1440"/>
      </w:pPr>
    </w:p>
    <w:p w14:paraId="5A859266" w14:textId="77777777" w:rsidR="00E62816" w:rsidRPr="00EC79EA" w:rsidRDefault="00E62816" w:rsidP="00EC79EA">
      <w:pPr>
        <w:widowControl/>
        <w:ind w:left="720"/>
      </w:pPr>
      <w:r w:rsidRPr="00EC79EA">
        <w:t>State Issues</w:t>
      </w:r>
    </w:p>
    <w:p w14:paraId="514E4CAA" w14:textId="77777777" w:rsidR="00E62816" w:rsidRPr="00EC79EA" w:rsidRDefault="00E62816" w:rsidP="00EC79EA">
      <w:pPr>
        <w:ind w:left="720"/>
      </w:pPr>
    </w:p>
    <w:p w14:paraId="43DFE807" w14:textId="77777777" w:rsidR="00E62816" w:rsidRPr="00EC79EA" w:rsidRDefault="00E62816" w:rsidP="00EC79EA">
      <w:pPr>
        <w:ind w:left="1440"/>
        <w:rPr>
          <w:i/>
          <w:color w:val="000000"/>
        </w:rPr>
      </w:pPr>
      <w:r w:rsidRPr="00EC79EA">
        <w:rPr>
          <w:i/>
          <w:color w:val="000000"/>
        </w:rPr>
        <w:t>California</w:t>
      </w:r>
    </w:p>
    <w:p w14:paraId="7FD53F50" w14:textId="77777777" w:rsidR="00E62816" w:rsidRPr="00EC79EA" w:rsidRDefault="00E62816" w:rsidP="00EC79EA">
      <w:pPr>
        <w:ind w:left="1440"/>
        <w:rPr>
          <w:color w:val="000000"/>
        </w:rPr>
      </w:pPr>
    </w:p>
    <w:p w14:paraId="32EADA0C" w14:textId="77777777" w:rsidR="00E62816" w:rsidRPr="00EC79EA" w:rsidRDefault="00E62816" w:rsidP="00EC79EA">
      <w:pPr>
        <w:ind w:left="2160"/>
      </w:pPr>
      <w:r w:rsidRPr="00EC79EA">
        <w:t>CDTSC Releases Draft 2018-2020 Priority Product Work Plan, page</w:t>
      </w:r>
      <w:r w:rsidR="00261F35">
        <w:t xml:space="preserve"> 8</w:t>
      </w:r>
    </w:p>
    <w:p w14:paraId="76BBCD1B" w14:textId="77777777" w:rsidR="00E62816" w:rsidRPr="00EC79EA" w:rsidRDefault="00E62816" w:rsidP="00EC79EA">
      <w:pPr>
        <w:ind w:left="2160"/>
      </w:pPr>
    </w:p>
    <w:p w14:paraId="1DB88158" w14:textId="77777777" w:rsidR="00E62816" w:rsidRPr="00EC79EA" w:rsidRDefault="00E62816" w:rsidP="00EC79EA">
      <w:pPr>
        <w:ind w:left="2160"/>
      </w:pPr>
      <w:r w:rsidRPr="00EC79EA">
        <w:t xml:space="preserve">Court Approves Settlement </w:t>
      </w:r>
      <w:proofErr w:type="gramStart"/>
      <w:r w:rsidRPr="00EC79EA">
        <w:t>With</w:t>
      </w:r>
      <w:proofErr w:type="gramEnd"/>
      <w:r w:rsidRPr="00EC79EA">
        <w:t xml:space="preserve"> Chocolate Manufacturers Regarding Lead And Cadmium, page</w:t>
      </w:r>
      <w:r w:rsidR="00261F35">
        <w:t xml:space="preserve"> 9</w:t>
      </w:r>
    </w:p>
    <w:p w14:paraId="4A46BC40" w14:textId="77777777" w:rsidR="00E62816" w:rsidRPr="00EC79EA" w:rsidRDefault="00E62816" w:rsidP="00EC79EA">
      <w:pPr>
        <w:ind w:left="1440"/>
      </w:pPr>
    </w:p>
    <w:p w14:paraId="16B0AE55" w14:textId="77777777" w:rsidR="00E62816" w:rsidRPr="00EC79EA" w:rsidRDefault="00E62816" w:rsidP="00EC79EA">
      <w:pPr>
        <w:ind w:left="1440"/>
        <w:rPr>
          <w:i/>
        </w:rPr>
      </w:pPr>
      <w:r w:rsidRPr="00EC79EA">
        <w:rPr>
          <w:i/>
        </w:rPr>
        <w:t>Minnesota</w:t>
      </w:r>
    </w:p>
    <w:p w14:paraId="131CA682" w14:textId="77777777" w:rsidR="00E62816" w:rsidRPr="00EC79EA" w:rsidRDefault="00E62816" w:rsidP="00EC79EA">
      <w:pPr>
        <w:ind w:left="1440"/>
      </w:pPr>
    </w:p>
    <w:p w14:paraId="4D2C8279" w14:textId="77777777" w:rsidR="00E62816" w:rsidRPr="00EC79EA" w:rsidRDefault="00E62816" w:rsidP="00EC79EA">
      <w:pPr>
        <w:ind w:left="2160"/>
      </w:pPr>
      <w:r w:rsidRPr="00EC79EA">
        <w:t xml:space="preserve">MDH Panel Meeting Includes Update </w:t>
      </w:r>
      <w:proofErr w:type="gramStart"/>
      <w:r w:rsidRPr="00EC79EA">
        <w:t>On</w:t>
      </w:r>
      <w:proofErr w:type="gramEnd"/>
      <w:r w:rsidRPr="00EC79EA">
        <w:t xml:space="preserve"> MN FEET Project, page</w:t>
      </w:r>
      <w:r w:rsidR="00261F35">
        <w:t xml:space="preserve"> 9</w:t>
      </w:r>
    </w:p>
    <w:p w14:paraId="3F962D1B" w14:textId="77777777" w:rsidR="00E62816" w:rsidRPr="00EC79EA" w:rsidRDefault="00E62816" w:rsidP="00EC79EA">
      <w:pPr>
        <w:ind w:left="1440"/>
      </w:pPr>
    </w:p>
    <w:p w14:paraId="7F4D33C8" w14:textId="77777777" w:rsidR="00E62816" w:rsidRPr="00EC79EA" w:rsidRDefault="00E62816" w:rsidP="00EC79EA">
      <w:pPr>
        <w:widowControl/>
        <w:ind w:left="1440"/>
        <w:rPr>
          <w:i/>
        </w:rPr>
      </w:pPr>
      <w:r w:rsidRPr="00EC79EA">
        <w:rPr>
          <w:i/>
        </w:rPr>
        <w:t>New Jersey</w:t>
      </w:r>
    </w:p>
    <w:p w14:paraId="4FC86ABA" w14:textId="77777777" w:rsidR="00E62816" w:rsidRPr="00EC79EA" w:rsidRDefault="00E62816" w:rsidP="00EC79EA">
      <w:pPr>
        <w:widowControl/>
        <w:ind w:left="1440"/>
      </w:pPr>
    </w:p>
    <w:p w14:paraId="56B35123" w14:textId="77777777" w:rsidR="00E62816" w:rsidRPr="00EC79EA" w:rsidRDefault="00E62816" w:rsidP="00EC79EA">
      <w:pPr>
        <w:ind w:left="2160"/>
      </w:pPr>
      <w:r w:rsidRPr="00EC79EA">
        <w:t xml:space="preserve">Bill Would Prohibit Sale </w:t>
      </w:r>
      <w:proofErr w:type="gramStart"/>
      <w:r w:rsidRPr="00EC79EA">
        <w:t>Of</w:t>
      </w:r>
      <w:proofErr w:type="gramEnd"/>
      <w:r w:rsidRPr="00EC79EA">
        <w:t xml:space="preserve"> Adulterated Candy In New Jersey, page</w:t>
      </w:r>
      <w:r w:rsidR="00261F35">
        <w:t xml:space="preserve"> 10</w:t>
      </w:r>
    </w:p>
    <w:p w14:paraId="383C9750" w14:textId="77777777" w:rsidR="00E62816" w:rsidRPr="00EC79EA" w:rsidRDefault="00E62816" w:rsidP="00EC79EA">
      <w:pPr>
        <w:ind w:left="1440"/>
      </w:pPr>
    </w:p>
    <w:p w14:paraId="0785AB9C" w14:textId="77777777" w:rsidR="00E62816" w:rsidRPr="00EC79EA" w:rsidRDefault="00E62816" w:rsidP="00EC79EA">
      <w:pPr>
        <w:tabs>
          <w:tab w:val="left" w:pos="1950"/>
        </w:tabs>
        <w:ind w:left="1440"/>
        <w:rPr>
          <w:i/>
        </w:rPr>
      </w:pPr>
      <w:r w:rsidRPr="00EC79EA">
        <w:rPr>
          <w:i/>
        </w:rPr>
        <w:t>New York</w:t>
      </w:r>
    </w:p>
    <w:p w14:paraId="2E154774" w14:textId="77777777" w:rsidR="00E62816" w:rsidRPr="00EC79EA" w:rsidRDefault="00E62816" w:rsidP="00EC79EA">
      <w:pPr>
        <w:tabs>
          <w:tab w:val="left" w:pos="1950"/>
        </w:tabs>
        <w:ind w:left="1440"/>
      </w:pPr>
    </w:p>
    <w:p w14:paraId="0163076F" w14:textId="77777777" w:rsidR="00E62816" w:rsidRPr="00EC79EA" w:rsidRDefault="00E62816" w:rsidP="00EC79EA">
      <w:pPr>
        <w:tabs>
          <w:tab w:val="left" w:pos="1950"/>
        </w:tabs>
        <w:ind w:left="2160"/>
      </w:pPr>
      <w:r w:rsidRPr="00EC79EA">
        <w:t xml:space="preserve">Bill Would Create Lists </w:t>
      </w:r>
      <w:proofErr w:type="gramStart"/>
      <w:r w:rsidRPr="00EC79EA">
        <w:t>Of</w:t>
      </w:r>
      <w:proofErr w:type="gramEnd"/>
      <w:r w:rsidRPr="00EC79EA">
        <w:t xml:space="preserve"> Chemicals Of High Concern And Priority For Pet Products; Cadmium Would Be Included, page</w:t>
      </w:r>
      <w:r w:rsidR="00261F35">
        <w:t xml:space="preserve"> 10</w:t>
      </w:r>
    </w:p>
    <w:p w14:paraId="4F20DC14" w14:textId="77777777" w:rsidR="00E62816" w:rsidRPr="00EC79EA" w:rsidRDefault="00E62816" w:rsidP="00EC79EA">
      <w:pPr>
        <w:tabs>
          <w:tab w:val="left" w:pos="1950"/>
        </w:tabs>
        <w:ind w:left="720"/>
      </w:pPr>
    </w:p>
    <w:p w14:paraId="3AA7D24B" w14:textId="77777777" w:rsidR="00E62816" w:rsidRPr="00EC79EA" w:rsidRDefault="00E62816" w:rsidP="00EC79EA">
      <w:pPr>
        <w:widowControl/>
        <w:ind w:left="720"/>
      </w:pPr>
      <w:r w:rsidRPr="00EC79EA">
        <w:t>International Issues</w:t>
      </w:r>
    </w:p>
    <w:p w14:paraId="533B632F" w14:textId="77777777" w:rsidR="00E62816" w:rsidRPr="00EC79EA" w:rsidRDefault="00E62816" w:rsidP="00EC79EA">
      <w:pPr>
        <w:ind w:left="720"/>
      </w:pPr>
    </w:p>
    <w:p w14:paraId="2858D70B" w14:textId="77777777" w:rsidR="00E62816" w:rsidRPr="00EC79EA" w:rsidRDefault="00E62816" w:rsidP="00EC79EA">
      <w:pPr>
        <w:widowControl/>
        <w:ind w:left="1440"/>
      </w:pPr>
      <w:r w:rsidRPr="00EC79EA">
        <w:t>China</w:t>
      </w:r>
    </w:p>
    <w:p w14:paraId="733E9A15" w14:textId="77777777" w:rsidR="00E62816" w:rsidRPr="00EC79EA" w:rsidRDefault="00E62816" w:rsidP="00EC79EA">
      <w:pPr>
        <w:widowControl/>
        <w:ind w:left="1440"/>
      </w:pPr>
    </w:p>
    <w:p w14:paraId="43AA16B5" w14:textId="77777777" w:rsidR="00E62816" w:rsidRPr="00EC79EA" w:rsidRDefault="00E62816" w:rsidP="00EC79EA">
      <w:pPr>
        <w:widowControl/>
        <w:ind w:left="2160"/>
      </w:pPr>
      <w:r w:rsidRPr="00EC79EA">
        <w:t xml:space="preserve">China Intends </w:t>
      </w:r>
      <w:proofErr w:type="gramStart"/>
      <w:r w:rsidRPr="00EC79EA">
        <w:t>To</w:t>
      </w:r>
      <w:proofErr w:type="gramEnd"/>
      <w:r w:rsidRPr="00EC79EA">
        <w:t xml:space="preserve"> Reform Organizational Structure Of State Council, page</w:t>
      </w:r>
      <w:r w:rsidR="00261F35">
        <w:t xml:space="preserve"> 11</w:t>
      </w:r>
    </w:p>
    <w:p w14:paraId="6F35F9FD" w14:textId="77777777" w:rsidR="00E62816" w:rsidRPr="00EC79EA" w:rsidRDefault="00E62816" w:rsidP="00EC79EA">
      <w:pPr>
        <w:widowControl/>
        <w:ind w:left="2160"/>
      </w:pPr>
    </w:p>
    <w:p w14:paraId="04C44FC2" w14:textId="77777777" w:rsidR="00E62816" w:rsidRPr="00EC79EA" w:rsidRDefault="00E62816" w:rsidP="00EC79EA">
      <w:pPr>
        <w:widowControl/>
        <w:ind w:left="2160"/>
      </w:pPr>
      <w:r w:rsidRPr="00C1727E">
        <w:rPr>
          <w:highlight w:val="yellow"/>
        </w:rPr>
        <w:t xml:space="preserve">China Publishes RoHS2 Compliance Management Catalog </w:t>
      </w:r>
      <w:proofErr w:type="gramStart"/>
      <w:r w:rsidRPr="00C1727E">
        <w:rPr>
          <w:highlight w:val="yellow"/>
        </w:rPr>
        <w:t>And</w:t>
      </w:r>
      <w:proofErr w:type="gramEnd"/>
      <w:r w:rsidRPr="00C1727E">
        <w:rPr>
          <w:highlight w:val="yellow"/>
        </w:rPr>
        <w:t xml:space="preserve"> Exemption List, page</w:t>
      </w:r>
      <w:r w:rsidR="00261F35" w:rsidRPr="00C1727E">
        <w:rPr>
          <w:highlight w:val="yellow"/>
        </w:rPr>
        <w:t xml:space="preserve"> 11</w:t>
      </w:r>
    </w:p>
    <w:p w14:paraId="7A3467DE" w14:textId="77777777" w:rsidR="00E62816" w:rsidRPr="00EC79EA" w:rsidRDefault="00E62816" w:rsidP="00EC79EA">
      <w:pPr>
        <w:widowControl/>
        <w:ind w:left="1440"/>
      </w:pPr>
    </w:p>
    <w:p w14:paraId="478197CC" w14:textId="77777777" w:rsidR="00E62816" w:rsidRPr="00EC79EA" w:rsidRDefault="00E62816" w:rsidP="00EC79EA">
      <w:pPr>
        <w:keepNext/>
        <w:keepLines/>
        <w:widowControl/>
        <w:ind w:left="1440"/>
      </w:pPr>
      <w:r w:rsidRPr="00EC79EA">
        <w:lastRenderedPageBreak/>
        <w:t>EEU</w:t>
      </w:r>
    </w:p>
    <w:p w14:paraId="51A95988" w14:textId="77777777" w:rsidR="00E62816" w:rsidRPr="00EC79EA" w:rsidRDefault="00E62816" w:rsidP="00EC79EA">
      <w:pPr>
        <w:keepNext/>
        <w:keepLines/>
        <w:widowControl/>
        <w:ind w:left="1440"/>
      </w:pPr>
    </w:p>
    <w:p w14:paraId="68DC89E0" w14:textId="77777777" w:rsidR="00E62816" w:rsidRPr="00EC79EA" w:rsidRDefault="00E62816" w:rsidP="00EC79EA">
      <w:pPr>
        <w:keepNext/>
        <w:keepLines/>
        <w:widowControl/>
        <w:ind w:left="2160"/>
      </w:pPr>
      <w:r w:rsidRPr="00C1727E">
        <w:rPr>
          <w:highlight w:val="yellow"/>
        </w:rPr>
        <w:t xml:space="preserve">EEU Regulation Aligned </w:t>
      </w:r>
      <w:proofErr w:type="gramStart"/>
      <w:r w:rsidRPr="00C1727E">
        <w:rPr>
          <w:highlight w:val="yellow"/>
        </w:rPr>
        <w:t>With</w:t>
      </w:r>
      <w:proofErr w:type="gramEnd"/>
      <w:r w:rsidRPr="00C1727E">
        <w:rPr>
          <w:highlight w:val="yellow"/>
        </w:rPr>
        <w:t xml:space="preserve"> EU RoHS Takes Effect</w:t>
      </w:r>
      <w:r w:rsidR="00261F35" w:rsidRPr="00C1727E">
        <w:rPr>
          <w:highlight w:val="yellow"/>
        </w:rPr>
        <w:t>, page 13</w:t>
      </w:r>
    </w:p>
    <w:p w14:paraId="6FA23D8C" w14:textId="77777777" w:rsidR="00E62816" w:rsidRPr="00EC79EA" w:rsidRDefault="00E62816" w:rsidP="00EC79EA">
      <w:pPr>
        <w:keepNext/>
        <w:keepLines/>
        <w:widowControl/>
        <w:ind w:left="1440"/>
      </w:pPr>
    </w:p>
    <w:p w14:paraId="3E2028A2" w14:textId="77777777" w:rsidR="00E62816" w:rsidRPr="00EC79EA" w:rsidRDefault="00E62816" w:rsidP="00EC79EA">
      <w:pPr>
        <w:widowControl/>
        <w:ind w:left="1440"/>
      </w:pPr>
      <w:r w:rsidRPr="00EC79EA">
        <w:t>South Korea</w:t>
      </w:r>
    </w:p>
    <w:p w14:paraId="72C3A398" w14:textId="77777777" w:rsidR="00E62816" w:rsidRPr="00EC79EA" w:rsidRDefault="00E62816" w:rsidP="00EC79EA">
      <w:pPr>
        <w:widowControl/>
        <w:ind w:left="1440"/>
      </w:pPr>
    </w:p>
    <w:p w14:paraId="5667E8C4" w14:textId="77777777" w:rsidR="00E62816" w:rsidRPr="00EC79EA" w:rsidRDefault="00E62816" w:rsidP="00EC79EA">
      <w:pPr>
        <w:ind w:left="2160"/>
      </w:pPr>
      <w:r w:rsidRPr="00EC79EA">
        <w:t xml:space="preserve">MOEL Holds Public Consultation </w:t>
      </w:r>
      <w:proofErr w:type="gramStart"/>
      <w:r w:rsidRPr="00EC79EA">
        <w:t>On</w:t>
      </w:r>
      <w:proofErr w:type="gramEnd"/>
      <w:r w:rsidRPr="00EC79EA">
        <w:t xml:space="preserve"> Proposed OSH Act Amendments</w:t>
      </w:r>
      <w:r w:rsidR="00261F35">
        <w:t>, page 13</w:t>
      </w:r>
    </w:p>
    <w:p w14:paraId="6B598C6E" w14:textId="77777777" w:rsidR="00E62816" w:rsidRPr="00EC79EA" w:rsidRDefault="00E62816" w:rsidP="00EC79EA">
      <w:pPr>
        <w:ind w:left="2160"/>
      </w:pPr>
      <w:r w:rsidRPr="00EC79EA">
        <w:cr/>
        <w:t xml:space="preserve"> </w:t>
      </w:r>
      <w:r w:rsidRPr="00C1727E">
        <w:rPr>
          <w:highlight w:val="yellow"/>
        </w:rPr>
        <w:t>K-REACH Amendments Will Be Enforced January 2019</w:t>
      </w:r>
      <w:r w:rsidR="00261F35" w:rsidRPr="00C1727E">
        <w:rPr>
          <w:highlight w:val="yellow"/>
        </w:rPr>
        <w:t>, page 14</w:t>
      </w:r>
    </w:p>
    <w:p w14:paraId="656D4102" w14:textId="77777777" w:rsidR="00E62816" w:rsidRPr="00EC79EA" w:rsidRDefault="00E62816" w:rsidP="00EC79EA">
      <w:pPr>
        <w:ind w:left="1440"/>
      </w:pPr>
    </w:p>
    <w:p w14:paraId="2B63DD0B" w14:textId="77777777" w:rsidR="00E62816" w:rsidRPr="00EC79EA" w:rsidRDefault="00E62816" w:rsidP="00EC79EA">
      <w:pPr>
        <w:ind w:left="1440"/>
      </w:pPr>
      <w:r w:rsidRPr="00EC79EA">
        <w:t>Taiwan</w:t>
      </w:r>
    </w:p>
    <w:p w14:paraId="3123B761" w14:textId="77777777" w:rsidR="00E62816" w:rsidRPr="00EC79EA" w:rsidRDefault="00E62816" w:rsidP="00EC79EA">
      <w:pPr>
        <w:ind w:left="1440"/>
      </w:pPr>
    </w:p>
    <w:p w14:paraId="423EC98C" w14:textId="77777777" w:rsidR="00E62816" w:rsidRPr="00EC79EA" w:rsidRDefault="00E62816" w:rsidP="00EC79EA">
      <w:pPr>
        <w:ind w:left="2160"/>
      </w:pPr>
      <w:r w:rsidRPr="00C1727E">
        <w:rPr>
          <w:highlight w:val="yellow"/>
        </w:rPr>
        <w:t xml:space="preserve">BSMI Amends Inspection Standard </w:t>
      </w:r>
      <w:proofErr w:type="gramStart"/>
      <w:r w:rsidRPr="00C1727E">
        <w:rPr>
          <w:highlight w:val="yellow"/>
        </w:rPr>
        <w:t>For</w:t>
      </w:r>
      <w:proofErr w:type="gramEnd"/>
      <w:r w:rsidRPr="00C1727E">
        <w:rPr>
          <w:highlight w:val="yellow"/>
        </w:rPr>
        <w:t xml:space="preserve"> Paints, Sets Maximum Level For Cadmium</w:t>
      </w:r>
      <w:r w:rsidR="00261F35" w:rsidRPr="00C1727E">
        <w:rPr>
          <w:highlight w:val="yellow"/>
        </w:rPr>
        <w:t>, page 15</w:t>
      </w:r>
    </w:p>
    <w:p w14:paraId="7DC6DA5F" w14:textId="77777777" w:rsidR="00E62816" w:rsidRPr="00EC79EA" w:rsidRDefault="00E62816" w:rsidP="00EC79EA"/>
    <w:p w14:paraId="50B45889" w14:textId="77777777" w:rsidR="000D3CE5" w:rsidRPr="00EC79EA" w:rsidRDefault="00FF18C2" w:rsidP="00EC79EA">
      <w:pPr>
        <w:pStyle w:val="NormalWeb"/>
        <w:spacing w:before="0" w:beforeAutospacing="0" w:after="0" w:afterAutospacing="0"/>
        <w:jc w:val="center"/>
        <w:rPr>
          <w:rFonts w:ascii="Times New Roman" w:hAnsi="Times New Roman" w:cs="Times New Roman"/>
          <w:b/>
        </w:rPr>
      </w:pPr>
      <w:r w:rsidRPr="00EC79EA">
        <w:rPr>
          <w:rFonts w:ascii="Times New Roman" w:hAnsi="Times New Roman" w:cs="Times New Roman"/>
          <w:b/>
        </w:rPr>
        <w:t>FEDERAL ISSUES</w:t>
      </w:r>
    </w:p>
    <w:p w14:paraId="31B55A82" w14:textId="77777777" w:rsidR="000D3CE5" w:rsidRPr="00EC79EA" w:rsidRDefault="000D3CE5" w:rsidP="00EC79EA">
      <w:pPr>
        <w:pStyle w:val="BodyText"/>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_Effect"/>
      <w:bookmarkStart w:id="9" w:name="_Japan’s_Emissions_Exceed_Kyoto_Prot"/>
      <w:bookmarkStart w:id="10" w:name="_New_EU_Member_States_Challenge_Emis"/>
      <w:bookmarkStart w:id="11" w:name="_Bush_Administration_Will_Seek_New_G"/>
      <w:bookmarkStart w:id="12" w:name="_Senate_Cap-And-Trade_Bill_Introduce"/>
      <w:bookmarkStart w:id="13" w:name="_Senate_Cap-And-Trade_Bill_Approved_"/>
      <w:bookmarkStart w:id="14" w:name="_Senate_Committee_Approves"/>
      <w:bookmarkStart w:id="15" w:name="_Representative_Says_Bush_Administra"/>
      <w:bookmarkStart w:id="16" w:name="_CBO_Reaffirms_Benefits_Of_Tax_Over_"/>
      <w:bookmarkStart w:id="17" w:name="_U.S._Hosts_Climate_Change_Meeting"/>
      <w:bookmarkStart w:id="18" w:name="_House_Bill_Would_Avoid_Auction_Of_C"/>
      <w:bookmarkStart w:id="19" w:name="_U.S._Committed_To_Negotiating_Post-"/>
      <w:bookmarkStart w:id="20" w:name="_Joint_Commission_Recommends_Additio"/>
      <w:bookmarkStart w:id="21" w:name="_EPA_Sued_For_Denying_Petition_Regar"/>
      <w:bookmarkStart w:id="22" w:name="_Cap-And-Trade_Legislation_Introduce"/>
      <w:bookmarkStart w:id="23" w:name="_Senate_Committee_Approves_Bill_Dire"/>
      <w:bookmarkStart w:id="24" w:name="_EPA_Releases_2005_TRI_Data"/>
      <w:bookmarkStart w:id="25" w:name="_EPA_Decides_To_Maintain_Reporting_F"/>
      <w:bookmarkStart w:id="26" w:name="_Senators_Request_GAO_Investigation_"/>
      <w:bookmarkStart w:id="27" w:name="_House_Blocks_EPA’s_Proposed_Changes"/>
      <w:bookmarkStart w:id="28" w:name="_EPA_Proposes_To_Survey_LEPCs"/>
      <w:bookmarkStart w:id="29" w:name="_EPA_Proposes_TRI_Burden_Reduction_R"/>
      <w:bookmarkStart w:id="30" w:name="_EPA_Releases_Reporting_Year_2004_TR"/>
      <w:bookmarkStart w:id="31" w:name="_EPA_Amends_TRI_Regulations_To_Inclu"/>
      <w:bookmarkStart w:id="32" w:name="_SAB_Committee_Sends_EPA_Unsolicited"/>
      <w:bookmarkStart w:id="33" w:name="_SAB_Committee_Considers_Sending_EPA"/>
      <w:bookmarkStart w:id="34" w:name="_EPA_Intends_To_Develop_Two-Year_TRI"/>
      <w:bookmarkStart w:id="35" w:name="_EPA_Revises_TRI_Forms_And_Regulatio"/>
      <w:bookmarkStart w:id="36" w:name="_EPA_Releases_2003_TRI_Data"/>
      <w:bookmarkStart w:id="37" w:name="_EPA_Prepares_Revisions_To_TRI_Forms"/>
      <w:bookmarkStart w:id="38" w:name="_Status_Of_Litigation_Challenging_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55E05CB" w14:textId="77777777" w:rsidR="000D3CE5" w:rsidRPr="00EC79EA" w:rsidRDefault="00FF18C2" w:rsidP="00EC79EA">
      <w:pPr>
        <w:jc w:val="center"/>
        <w:rPr>
          <w:b/>
        </w:rPr>
      </w:pPr>
      <w:r w:rsidRPr="00EC79EA">
        <w:rPr>
          <w:b/>
        </w:rPr>
        <w:t>CERCLA ISSUES</w:t>
      </w:r>
    </w:p>
    <w:p w14:paraId="53110B0C" w14:textId="77777777" w:rsidR="000D3CE5" w:rsidRPr="00EC79EA" w:rsidRDefault="000D3CE5" w:rsidP="00EC79EA"/>
    <w:p w14:paraId="4FE19E14" w14:textId="77777777" w:rsidR="000D3CE5" w:rsidRPr="00EC79EA" w:rsidRDefault="00FF18C2" w:rsidP="00EC79EA">
      <w:pPr>
        <w:rPr>
          <w:b/>
        </w:rPr>
      </w:pPr>
      <w:r w:rsidRPr="00C911F0">
        <w:rPr>
          <w:b/>
          <w:highlight w:val="yellow"/>
        </w:rPr>
        <w:t xml:space="preserve">EPA Publishes Decision Not </w:t>
      </w:r>
      <w:proofErr w:type="gramStart"/>
      <w:r w:rsidRPr="00C911F0">
        <w:rPr>
          <w:b/>
          <w:highlight w:val="yellow"/>
        </w:rPr>
        <w:t>To</w:t>
      </w:r>
      <w:proofErr w:type="gramEnd"/>
      <w:r w:rsidRPr="00C911F0">
        <w:rPr>
          <w:b/>
          <w:highlight w:val="yellow"/>
        </w:rPr>
        <w:t xml:space="preserve"> Proceed With Final Rule Regarding Financial Responsibility Requirements For Hardrock Mining Industry</w:t>
      </w:r>
    </w:p>
    <w:p w14:paraId="1D7A537D" w14:textId="77777777" w:rsidR="000D3CE5" w:rsidRPr="00EC79EA" w:rsidRDefault="000D3CE5" w:rsidP="00EC79EA"/>
    <w:p w14:paraId="78E19D4D" w14:textId="77777777" w:rsidR="000D3CE5" w:rsidRPr="00EC79EA" w:rsidRDefault="00FF18C2" w:rsidP="00EC79EA">
      <w:r w:rsidRPr="00EC79EA">
        <w:t xml:space="preserve">As reported in our January 28, 2018, Update, EPA </w:t>
      </w:r>
      <w:hyperlink r:id="rId8" w:history="1">
        <w:r w:rsidRPr="00EC79EA">
          <w:rPr>
            <w:rStyle w:val="Hyperlink"/>
          </w:rPr>
          <w:t>announced</w:t>
        </w:r>
      </w:hyperlink>
      <w:r w:rsidRPr="00EC79EA">
        <w:t xml:space="preserve"> on December 1, 2017, that it will not issue final regulations for financial responsibility requirements for certain </w:t>
      </w:r>
      <w:proofErr w:type="spellStart"/>
      <w:r w:rsidRPr="00EC79EA">
        <w:t>hardrock</w:t>
      </w:r>
      <w:proofErr w:type="spellEnd"/>
      <w:r w:rsidRPr="00EC79EA">
        <w:t xml:space="preserve"> mining facilities.  The January 11, 2017, proposed rule would have required owners and operators of certain classes of </w:t>
      </w:r>
      <w:proofErr w:type="spellStart"/>
      <w:r w:rsidRPr="00EC79EA">
        <w:t>hardrock</w:t>
      </w:r>
      <w:proofErr w:type="spellEnd"/>
      <w:r w:rsidRPr="00EC79EA">
        <w:t xml:space="preserve"> mines and mineral processing facilities to show financial ability to address risks from hazardous substances.  EPA published a </w:t>
      </w:r>
      <w:hyperlink r:id="rId9" w:history="1">
        <w:r w:rsidRPr="00EC79EA">
          <w:rPr>
            <w:rStyle w:val="Hyperlink"/>
            <w:i/>
          </w:rPr>
          <w:t>Federal Register</w:t>
        </w:r>
        <w:r w:rsidRPr="00EC79EA">
          <w:rPr>
            <w:rStyle w:val="Hyperlink"/>
          </w:rPr>
          <w:t xml:space="preserve"> notice</w:t>
        </w:r>
      </w:hyperlink>
      <w:r w:rsidRPr="00EC79EA">
        <w:t xml:space="preserve"> on February 21, 2018, announcing its decision.  EPA notes that the final rulemaking is its final action on the proposed rule.  The final action was effective on March 23, 2018.  More information regarding the January 11, 2017, proposed rule is available in our January 28, 2017, Update.</w:t>
      </w:r>
    </w:p>
    <w:p w14:paraId="025C8A56" w14:textId="77777777" w:rsidR="000D3CE5" w:rsidRPr="00EC79EA" w:rsidRDefault="000D3CE5" w:rsidP="00EC79EA"/>
    <w:p w14:paraId="3333C65B" w14:textId="77777777" w:rsidR="000D3CE5" w:rsidRPr="00EC79EA" w:rsidRDefault="00FF18C2" w:rsidP="00EC79EA">
      <w:pPr>
        <w:widowControl/>
        <w:jc w:val="center"/>
        <w:rPr>
          <w:b/>
        </w:rPr>
      </w:pPr>
      <w:r w:rsidRPr="00EC79EA">
        <w:rPr>
          <w:b/>
        </w:rPr>
        <w:t>EPCRA ISSUES</w:t>
      </w:r>
    </w:p>
    <w:p w14:paraId="644D64FB" w14:textId="77777777" w:rsidR="000D3CE5" w:rsidRPr="00EC79EA" w:rsidRDefault="000D3CE5" w:rsidP="00EC79EA">
      <w:pPr>
        <w:widowControl/>
      </w:pPr>
    </w:p>
    <w:p w14:paraId="0827CC73" w14:textId="77777777" w:rsidR="000D3CE5" w:rsidRPr="00EC79EA" w:rsidRDefault="00FF18C2" w:rsidP="00EC79EA">
      <w:pPr>
        <w:rPr>
          <w:b/>
        </w:rPr>
      </w:pPr>
      <w:r w:rsidRPr="00EC79EA">
        <w:rPr>
          <w:b/>
        </w:rPr>
        <w:t>EPA Publishes 2016 TRI National Analysis, Holds Webinar</w:t>
      </w:r>
    </w:p>
    <w:p w14:paraId="79DB1464" w14:textId="77777777" w:rsidR="000D3CE5" w:rsidRPr="00EC79EA" w:rsidRDefault="000D3CE5" w:rsidP="00EC79EA"/>
    <w:p w14:paraId="64AA3E81" w14:textId="77777777" w:rsidR="000D3CE5" w:rsidRPr="00EC79EA" w:rsidRDefault="00FF18C2" w:rsidP="00EC79EA">
      <w:r w:rsidRPr="00EC79EA">
        <w:t xml:space="preserve">EPA </w:t>
      </w:r>
      <w:hyperlink r:id="rId10" w:history="1">
        <w:r w:rsidRPr="00EC79EA">
          <w:rPr>
            <w:rStyle w:val="Hyperlink"/>
          </w:rPr>
          <w:t>announced</w:t>
        </w:r>
      </w:hyperlink>
      <w:r w:rsidRPr="00EC79EA">
        <w:t xml:space="preserve"> on January 30, 2018, the availability of its 2016 TRI National Analysis.  EPA states:</w:t>
      </w:r>
    </w:p>
    <w:p w14:paraId="722CD691" w14:textId="77777777" w:rsidR="000D3CE5" w:rsidRPr="00EC79EA" w:rsidRDefault="000D3CE5" w:rsidP="00EC79EA"/>
    <w:p w14:paraId="3D30749C" w14:textId="77777777" w:rsidR="000D3CE5" w:rsidRPr="00EC79EA" w:rsidRDefault="00FF18C2" w:rsidP="00EC79EA">
      <w:pPr>
        <w:ind w:left="1440" w:right="1440"/>
      </w:pPr>
      <w:r w:rsidRPr="00EC79EA">
        <w:t xml:space="preserve">Coal- and oil-powered electric utilities and paper manufacturing facilities reported the greatest reductions, but nearly every sector reduced its air releases.  Since 2006, air releases of TRI-listed chemicals fell 58% (at industrial facilities submitting data to the </w:t>
      </w:r>
      <w:r w:rsidRPr="00EC79EA">
        <w:lastRenderedPageBreak/>
        <w:t>program).</w:t>
      </w:r>
    </w:p>
    <w:p w14:paraId="06F648EF" w14:textId="77777777" w:rsidR="000D3CE5" w:rsidRPr="00EC79EA" w:rsidRDefault="000D3CE5" w:rsidP="00EC79EA">
      <w:pPr>
        <w:ind w:left="1440" w:right="1440"/>
      </w:pPr>
    </w:p>
    <w:p w14:paraId="3158BE82" w14:textId="77777777" w:rsidR="000D3CE5" w:rsidRPr="00EC79EA" w:rsidRDefault="00FF18C2" w:rsidP="00EC79EA">
      <w:pPr>
        <w:ind w:left="1440" w:right="1440"/>
      </w:pPr>
      <w:r w:rsidRPr="00EC79EA">
        <w:t>Hydrochloric acid, sulfuric acid, toluene, and mercury were among chemicals with significantly reduced air releases.  This trend is helping protect millions of families and children from these harmful pollutants.  During the ten-year period, combined hydrochloric acid and sulfuric acid air releases declined more than 573 million pounds, and mercury and mercury compounds declined more than 89,000 pounds at TRI-covered facilities.</w:t>
      </w:r>
    </w:p>
    <w:p w14:paraId="34915838" w14:textId="77777777" w:rsidR="000D3CE5" w:rsidRPr="00EC79EA" w:rsidRDefault="000D3CE5" w:rsidP="00EC79EA"/>
    <w:p w14:paraId="46F231C3" w14:textId="77777777" w:rsidR="000D3CE5" w:rsidRPr="00EC79EA" w:rsidRDefault="00FF18C2" w:rsidP="00EC79EA">
      <w:r w:rsidRPr="00EC79EA">
        <w:t xml:space="preserve">On February 7, 2018, EPA </w:t>
      </w:r>
      <w:hyperlink r:id="rId11" w:history="1">
        <w:r w:rsidRPr="00EC79EA">
          <w:rPr>
            <w:rStyle w:val="Hyperlink"/>
          </w:rPr>
          <w:t>held a webinar</w:t>
        </w:r>
      </w:hyperlink>
      <w:r w:rsidRPr="00EC79EA">
        <w:t xml:space="preserve"> to look at highlights from the 2016 TRI data and “to take a tour” of the National Analysis website.</w:t>
      </w:r>
    </w:p>
    <w:p w14:paraId="546BE260" w14:textId="77777777" w:rsidR="000D3CE5" w:rsidRPr="00EC79EA" w:rsidRDefault="000D3CE5" w:rsidP="00EC79EA"/>
    <w:p w14:paraId="49D8633A" w14:textId="77777777" w:rsidR="000D3CE5" w:rsidRPr="00EC79EA" w:rsidRDefault="00FF18C2" w:rsidP="00EC79EA">
      <w:pPr>
        <w:widowControl/>
        <w:jc w:val="center"/>
        <w:rPr>
          <w:b/>
        </w:rPr>
      </w:pPr>
      <w:r w:rsidRPr="00EC79EA">
        <w:rPr>
          <w:b/>
        </w:rPr>
        <w:t>MINING AND MINERAL ISSUES</w:t>
      </w:r>
    </w:p>
    <w:p w14:paraId="0D63868F" w14:textId="77777777" w:rsidR="000D3CE5" w:rsidRPr="00EC79EA" w:rsidRDefault="000D3CE5" w:rsidP="00EC79EA">
      <w:pPr>
        <w:widowControl/>
      </w:pPr>
    </w:p>
    <w:p w14:paraId="3E2DD14C" w14:textId="77777777" w:rsidR="000D3CE5" w:rsidRPr="00EC79EA" w:rsidRDefault="00FF18C2" w:rsidP="00EC79EA">
      <w:pPr>
        <w:rPr>
          <w:b/>
        </w:rPr>
      </w:pPr>
      <w:r w:rsidRPr="00EC79EA">
        <w:rPr>
          <w:b/>
        </w:rPr>
        <w:t xml:space="preserve">House Committee Reviews, Passes National Strategic </w:t>
      </w:r>
      <w:proofErr w:type="gramStart"/>
      <w:r w:rsidRPr="00EC79EA">
        <w:rPr>
          <w:b/>
        </w:rPr>
        <w:t>And</w:t>
      </w:r>
      <w:proofErr w:type="gramEnd"/>
      <w:r w:rsidRPr="00EC79EA">
        <w:rPr>
          <w:b/>
        </w:rPr>
        <w:t xml:space="preserve"> Critical Minerals Production Act</w:t>
      </w:r>
    </w:p>
    <w:p w14:paraId="7EC33708" w14:textId="77777777" w:rsidR="000D3CE5" w:rsidRPr="00EC79EA" w:rsidRDefault="000D3CE5" w:rsidP="00EC79EA"/>
    <w:p w14:paraId="222339B9" w14:textId="77777777" w:rsidR="000D3CE5" w:rsidRPr="00EC79EA" w:rsidRDefault="00FF18C2" w:rsidP="00EC79EA">
      <w:r w:rsidRPr="00EC79EA">
        <w:t xml:space="preserve">On February 15, 2018, the House Natural Resources Subcommittee on Energy and Mineral Resources held a </w:t>
      </w:r>
      <w:hyperlink r:id="rId12" w:history="1">
        <w:r w:rsidRPr="00EC79EA">
          <w:rPr>
            <w:rStyle w:val="Hyperlink"/>
          </w:rPr>
          <w:t>legislative hearing</w:t>
        </w:r>
      </w:hyperlink>
      <w:r w:rsidRPr="00EC79EA">
        <w:t xml:space="preserve"> on the National Strategic and Critical Minerals Production Act (H.R. 520).  According to the </w:t>
      </w:r>
      <w:hyperlink r:id="rId13" w:history="1">
        <w:r w:rsidRPr="00EC79EA">
          <w:rPr>
            <w:rStyle w:val="Hyperlink"/>
          </w:rPr>
          <w:t>hearing memorandum</w:t>
        </w:r>
      </w:hyperlink>
      <w:r w:rsidRPr="00EC79EA">
        <w:t>, the bill will support mineral production in the U.S. by boosting efficiency in the permitting process for mineral production, emphasizing coordination between federal and state agencies, minimizing delays and duplicative reviews, and creating more predictable timeframes.  The memorandum states that the bill “also aligns with policy objectives in President Trump’s December 20, 2017 Executive Order outlining a federal strategy to ensure a reliable supply of critical minerals.  The federal government is instructed to ‘[streamline] leasing and permitting processes to expedite exploration, production, processing, reprocessing, recycling, and domestic refining of critical minerals.’”  The memorandum notes that a version of the bill has passed the House in the last three Congresses:  H.R. 4402 (112th Congress); H.R 761 (113th Congress); as part of H.R. 4 (113th Congress); and H.R. 1937 (114th Congress).  Witnesses included:</w:t>
      </w:r>
    </w:p>
    <w:p w14:paraId="3C6A45F3" w14:textId="77777777" w:rsidR="000D3CE5" w:rsidRPr="00EC79EA" w:rsidRDefault="000D3CE5" w:rsidP="00EC79EA"/>
    <w:p w14:paraId="540A49A7" w14:textId="77777777" w:rsidR="000D3CE5" w:rsidRPr="00EC79EA" w:rsidRDefault="00FF18C2" w:rsidP="00EC79EA">
      <w:pPr>
        <w:pStyle w:val="ListParagraph"/>
        <w:numPr>
          <w:ilvl w:val="0"/>
          <w:numId w:val="34"/>
        </w:numPr>
        <w:spacing w:after="0" w:line="240" w:lineRule="auto"/>
        <w:ind w:left="1440" w:right="720" w:hanging="720"/>
        <w:jc w:val="both"/>
      </w:pPr>
      <w:r w:rsidRPr="00EC79EA">
        <w:t>Greg Lucero, Vice President, Community &amp; Government Affairs, Arizona Mining;</w:t>
      </w:r>
    </w:p>
    <w:p w14:paraId="29B8655C" w14:textId="77777777" w:rsidR="000D3CE5" w:rsidRPr="00EC79EA" w:rsidRDefault="000D3CE5" w:rsidP="00EC79EA">
      <w:pPr>
        <w:ind w:left="1440" w:right="720" w:hanging="720"/>
      </w:pPr>
    </w:p>
    <w:p w14:paraId="22153E29" w14:textId="77777777" w:rsidR="000D3CE5" w:rsidRPr="00EC79EA" w:rsidRDefault="00FF18C2" w:rsidP="00EC79EA">
      <w:pPr>
        <w:pStyle w:val="ListParagraph"/>
        <w:numPr>
          <w:ilvl w:val="0"/>
          <w:numId w:val="34"/>
        </w:numPr>
        <w:spacing w:after="0" w:line="240" w:lineRule="auto"/>
        <w:ind w:left="1440" w:right="720" w:hanging="720"/>
        <w:jc w:val="both"/>
      </w:pPr>
      <w:r w:rsidRPr="00EC79EA">
        <w:t xml:space="preserve">Aaron </w:t>
      </w:r>
      <w:proofErr w:type="spellStart"/>
      <w:r w:rsidRPr="00EC79EA">
        <w:t>Mintzes</w:t>
      </w:r>
      <w:proofErr w:type="spellEnd"/>
      <w:r w:rsidRPr="00EC79EA">
        <w:t>, Senior Policy Counsel, Earthworks;</w:t>
      </w:r>
    </w:p>
    <w:p w14:paraId="23FE662A" w14:textId="77777777" w:rsidR="000D3CE5" w:rsidRPr="00EC79EA" w:rsidRDefault="000D3CE5" w:rsidP="00EC79EA">
      <w:pPr>
        <w:ind w:left="1440" w:right="720" w:hanging="720"/>
      </w:pPr>
    </w:p>
    <w:p w14:paraId="71A226BB" w14:textId="77777777" w:rsidR="000D3CE5" w:rsidRPr="00EC79EA" w:rsidRDefault="00FF18C2" w:rsidP="00EC79EA">
      <w:pPr>
        <w:pStyle w:val="ListParagraph"/>
        <w:numPr>
          <w:ilvl w:val="0"/>
          <w:numId w:val="34"/>
        </w:numPr>
        <w:spacing w:after="0" w:line="240" w:lineRule="auto"/>
        <w:ind w:left="1440" w:right="720" w:hanging="720"/>
        <w:jc w:val="both"/>
      </w:pPr>
      <w:r w:rsidRPr="00EC79EA">
        <w:t>Doug Stiles, General Manager, Hecla Mining Company; and</w:t>
      </w:r>
    </w:p>
    <w:p w14:paraId="74B4CD17" w14:textId="77777777" w:rsidR="000D3CE5" w:rsidRPr="00EC79EA" w:rsidRDefault="000D3CE5" w:rsidP="00EC79EA">
      <w:pPr>
        <w:ind w:left="1440" w:right="720" w:hanging="720"/>
      </w:pPr>
    </w:p>
    <w:p w14:paraId="572CE09E" w14:textId="77777777" w:rsidR="000D3CE5" w:rsidRPr="00EC79EA" w:rsidRDefault="00FF18C2" w:rsidP="00EC79EA">
      <w:pPr>
        <w:pStyle w:val="ListParagraph"/>
        <w:numPr>
          <w:ilvl w:val="0"/>
          <w:numId w:val="34"/>
        </w:numPr>
        <w:spacing w:after="0" w:line="240" w:lineRule="auto"/>
        <w:ind w:left="1440" w:right="720" w:hanging="720"/>
        <w:jc w:val="both"/>
      </w:pPr>
      <w:r w:rsidRPr="00EC79EA">
        <w:t>David S. Abraham, Senior Fellow, New America Foundation, Director, Technology, Rare and Electronics Materials Center, Electronic Materials Center.</w:t>
      </w:r>
    </w:p>
    <w:p w14:paraId="6FB1F193" w14:textId="77777777" w:rsidR="000D3CE5" w:rsidRPr="00EC79EA" w:rsidRDefault="00FF18C2" w:rsidP="00EC79EA">
      <w:pPr>
        <w:keepNext/>
        <w:keepLines/>
        <w:widowControl/>
      </w:pPr>
      <w:bookmarkStart w:id="39" w:name="_DOI_Publishes_Draft"/>
      <w:bookmarkEnd w:id="39"/>
      <w:r w:rsidRPr="00EC79EA">
        <w:lastRenderedPageBreak/>
        <w:t xml:space="preserve">On March 7, 2018, the House Committee on Natural Resources passed H.R. 520 by a vote of 21-16.  During the markup, Representative Alan Lowenthal (D-CA) offered an amendment to tighten the definition of a strategic and critical mineral, arguing that the bill’s language theoretically includes all minerals, including sand, gravel, and clay.  Lowenthal’s amendment used the more restrictive definition from Trump’s December 2017 Executive Order on critical minerals.  Republicans argued that even aggregate materials can be critical in emergencies, however, and the amendment failed 20-16.  Representative Paul </w:t>
      </w:r>
      <w:proofErr w:type="spellStart"/>
      <w:r w:rsidRPr="00EC79EA">
        <w:t>Gosar</w:t>
      </w:r>
      <w:proofErr w:type="spellEnd"/>
      <w:r w:rsidRPr="00EC79EA">
        <w:t xml:space="preserve"> (R-AZ) stated last month that he thinks “there’s a sentiment that it can pass” and that “[t]he air is a little bit different because everybody wants infrastructure.”  Representative Raul Grijalva (D-AZ), the Committee’s Ranking Member, disagreed during the markup, stating that the bill is trapped in an “endless partisan loop” and has no hope in the Senate.  Senator Dean Heller (R-NV) introduced a companion bill (S. 145) in the Senate in January 2018.  The bill was referred to the Senate Energy and Natural Resources Committee.</w:t>
      </w:r>
    </w:p>
    <w:p w14:paraId="188D8EFD" w14:textId="77777777" w:rsidR="000D3CE5" w:rsidRPr="00EC79EA" w:rsidRDefault="000D3CE5" w:rsidP="00EC79EA"/>
    <w:p w14:paraId="09B339AF" w14:textId="77777777" w:rsidR="000D3CE5" w:rsidRPr="00EC79EA" w:rsidRDefault="00FF18C2" w:rsidP="00EC79EA">
      <w:pPr>
        <w:rPr>
          <w:b/>
        </w:rPr>
      </w:pPr>
      <w:r w:rsidRPr="00EC79EA">
        <w:rPr>
          <w:b/>
        </w:rPr>
        <w:t xml:space="preserve">MSHA Will Step Up Efforts </w:t>
      </w:r>
      <w:proofErr w:type="gramStart"/>
      <w:r w:rsidRPr="00EC79EA">
        <w:rPr>
          <w:b/>
        </w:rPr>
        <w:t>To</w:t>
      </w:r>
      <w:proofErr w:type="gramEnd"/>
      <w:r w:rsidRPr="00EC79EA">
        <w:rPr>
          <w:b/>
        </w:rPr>
        <w:t xml:space="preserve"> Collect Unpaid Safety Fines</w:t>
      </w:r>
    </w:p>
    <w:p w14:paraId="3BB8A3C6" w14:textId="77777777" w:rsidR="000D3CE5" w:rsidRPr="00EC79EA" w:rsidRDefault="000D3CE5" w:rsidP="00EC79EA"/>
    <w:p w14:paraId="356FBB6C" w14:textId="77777777" w:rsidR="000D3CE5" w:rsidRPr="00EC79EA" w:rsidRDefault="00FF18C2" w:rsidP="00EC79EA">
      <w:r w:rsidRPr="00EC79EA">
        <w:t xml:space="preserve">On March 6, 2018, an editorial by David </w:t>
      </w:r>
      <w:proofErr w:type="spellStart"/>
      <w:r w:rsidRPr="00EC79EA">
        <w:t>Zatezalo</w:t>
      </w:r>
      <w:proofErr w:type="spellEnd"/>
      <w:r w:rsidRPr="00EC79EA">
        <w:t xml:space="preserve">, Assistant Secretary for Mine Safety and Health, appeared in </w:t>
      </w:r>
      <w:r w:rsidRPr="00EC79EA">
        <w:rPr>
          <w:i/>
        </w:rPr>
        <w:t>The Intelligencer Wheeling News Register</w:t>
      </w:r>
      <w:r w:rsidRPr="00EC79EA">
        <w:t xml:space="preserve">.  According to the editorial, which MSHA </w:t>
      </w:r>
      <w:hyperlink r:id="rId14" w:history="1">
        <w:r w:rsidRPr="00EC79EA">
          <w:rPr>
            <w:rStyle w:val="Hyperlink"/>
          </w:rPr>
          <w:t>posted on its website</w:t>
        </w:r>
      </w:hyperlink>
      <w:r w:rsidRPr="00EC79EA">
        <w:t xml:space="preserve"> on March 7, 2018, </w:t>
      </w:r>
      <w:proofErr w:type="spellStart"/>
      <w:r w:rsidRPr="00EC79EA">
        <w:t>Zatezalo</w:t>
      </w:r>
      <w:proofErr w:type="spellEnd"/>
      <w:r w:rsidRPr="00EC79EA">
        <w:t xml:space="preserve"> is taking action to strengthen MSHA’s Scofflaw Program, which was created to pursue the collection of unpaid fines.  </w:t>
      </w:r>
      <w:proofErr w:type="spellStart"/>
      <w:r w:rsidRPr="00EC79EA">
        <w:t>Zatezalo</w:t>
      </w:r>
      <w:proofErr w:type="spellEnd"/>
      <w:r w:rsidRPr="00EC79EA">
        <w:t xml:space="preserve"> states that if operators fail to show good faith and arrange to pay their penalties, “MSHA will pursue them with every means under the law.”  Mine operators that do not pay their safety and health fines can be forced to cease production until fines are resolved.  </w:t>
      </w:r>
      <w:proofErr w:type="spellStart"/>
      <w:r w:rsidRPr="00EC79EA">
        <w:t>Zatezalo</w:t>
      </w:r>
      <w:proofErr w:type="spellEnd"/>
      <w:r w:rsidRPr="00EC79EA">
        <w:t xml:space="preserve"> notes that </w:t>
      </w:r>
      <w:proofErr w:type="gramStart"/>
      <w:r w:rsidRPr="00EC79EA">
        <w:t>at all times</w:t>
      </w:r>
      <w:proofErr w:type="gramEnd"/>
      <w:r w:rsidRPr="00EC79EA">
        <w:t>, miners will be paid.</w:t>
      </w:r>
    </w:p>
    <w:p w14:paraId="1A75E592" w14:textId="77777777" w:rsidR="000D3CE5" w:rsidRPr="00EC79EA" w:rsidRDefault="000D3CE5" w:rsidP="00EC79EA"/>
    <w:p w14:paraId="37F4C285" w14:textId="77777777" w:rsidR="000D3CE5" w:rsidRPr="00EC79EA" w:rsidRDefault="00FF18C2" w:rsidP="00EC79EA">
      <w:pPr>
        <w:rPr>
          <w:b/>
        </w:rPr>
      </w:pPr>
      <w:r w:rsidRPr="00EC79EA">
        <w:rPr>
          <w:b/>
        </w:rPr>
        <w:t xml:space="preserve">House Subcommittee Holds Oversight Hearing </w:t>
      </w:r>
      <w:proofErr w:type="gramStart"/>
      <w:r w:rsidRPr="00EC79EA">
        <w:rPr>
          <w:b/>
        </w:rPr>
        <w:t>On</w:t>
      </w:r>
      <w:proofErr w:type="gramEnd"/>
      <w:r w:rsidRPr="00EC79EA">
        <w:rPr>
          <w:b/>
        </w:rPr>
        <w:t xml:space="preserve"> Abandoned Hardrock Mines And The Role Of Non-Governmental Entities</w:t>
      </w:r>
    </w:p>
    <w:p w14:paraId="43D72FCC" w14:textId="77777777" w:rsidR="000D3CE5" w:rsidRPr="00EC79EA" w:rsidRDefault="000D3CE5" w:rsidP="00EC79EA"/>
    <w:p w14:paraId="315189E4" w14:textId="77777777" w:rsidR="000D3CE5" w:rsidRPr="00EC79EA" w:rsidRDefault="00FF18C2" w:rsidP="00EC79EA">
      <w:r w:rsidRPr="00EC79EA">
        <w:t>On March 15, 2018, the House Natural Resources Subcommittee on Energy and Mineral Resources held an oversight hearing on “</w:t>
      </w:r>
      <w:hyperlink r:id="rId15" w:history="1">
        <w:r w:rsidRPr="00EC79EA">
          <w:rPr>
            <w:rStyle w:val="Hyperlink"/>
          </w:rPr>
          <w:t>Abandoned Hardrock Mines and the Role of Non-Governmental Entities</w:t>
        </w:r>
      </w:hyperlink>
      <w:r w:rsidRPr="00EC79EA">
        <w:t xml:space="preserve">.”  The </w:t>
      </w:r>
      <w:hyperlink r:id="rId16" w:history="1">
        <w:r w:rsidRPr="00EC79EA">
          <w:rPr>
            <w:rStyle w:val="Hyperlink"/>
          </w:rPr>
          <w:t>hearing memorandum</w:t>
        </w:r>
      </w:hyperlink>
      <w:r w:rsidRPr="00EC79EA">
        <w:t xml:space="preserve"> provides the following policy overview:</w:t>
      </w:r>
    </w:p>
    <w:p w14:paraId="2023AF12" w14:textId="77777777" w:rsidR="000D3CE5" w:rsidRPr="00EC79EA" w:rsidRDefault="000D3CE5" w:rsidP="00EC79EA"/>
    <w:p w14:paraId="140004B5" w14:textId="77777777" w:rsidR="000D3CE5" w:rsidRPr="00EC79EA" w:rsidRDefault="00FF18C2" w:rsidP="00EC79EA">
      <w:pPr>
        <w:pStyle w:val="ListParagraph"/>
        <w:numPr>
          <w:ilvl w:val="0"/>
          <w:numId w:val="42"/>
        </w:numPr>
        <w:spacing w:after="0" w:line="240" w:lineRule="auto"/>
        <w:ind w:left="1440" w:right="720" w:hanging="720"/>
        <w:jc w:val="both"/>
      </w:pPr>
      <w:r w:rsidRPr="00EC79EA">
        <w:t xml:space="preserve">Domestic </w:t>
      </w:r>
      <w:proofErr w:type="spellStart"/>
      <w:r w:rsidRPr="00EC79EA">
        <w:t>hardrock</w:t>
      </w:r>
      <w:proofErr w:type="spellEnd"/>
      <w:r w:rsidRPr="00EC79EA">
        <w:t xml:space="preserve"> mining contributes to local economies, creates jobs, and benefits the nation’s overall economic security;</w:t>
      </w:r>
    </w:p>
    <w:p w14:paraId="5FC14BF3" w14:textId="77777777" w:rsidR="000D3CE5" w:rsidRPr="00EC79EA" w:rsidRDefault="000D3CE5" w:rsidP="00EC79EA">
      <w:pPr>
        <w:ind w:left="1440" w:right="720" w:hanging="720"/>
      </w:pPr>
    </w:p>
    <w:p w14:paraId="158B8BF6" w14:textId="77777777" w:rsidR="000D3CE5" w:rsidRPr="00EC79EA" w:rsidRDefault="00FF18C2" w:rsidP="00EC79EA">
      <w:pPr>
        <w:pStyle w:val="ListParagraph"/>
        <w:numPr>
          <w:ilvl w:val="0"/>
          <w:numId w:val="42"/>
        </w:numPr>
        <w:spacing w:after="0" w:line="240" w:lineRule="auto"/>
        <w:ind w:left="1440" w:right="720" w:hanging="720"/>
        <w:jc w:val="both"/>
      </w:pPr>
      <w:r w:rsidRPr="00EC79EA">
        <w:t xml:space="preserve">Abandoned </w:t>
      </w:r>
      <w:proofErr w:type="spellStart"/>
      <w:r w:rsidRPr="00EC79EA">
        <w:t>hardrock</w:t>
      </w:r>
      <w:proofErr w:type="spellEnd"/>
      <w:r w:rsidRPr="00EC79EA">
        <w:t xml:space="preserve"> mines, deserted before the era of modern regulations and with no current responsible party, pose threats to the environment and widespread financial burdens at the state, federal, and local level;</w:t>
      </w:r>
    </w:p>
    <w:p w14:paraId="25851850" w14:textId="77777777" w:rsidR="000D3CE5" w:rsidRPr="00EC79EA" w:rsidRDefault="000D3CE5" w:rsidP="00EC79EA">
      <w:pPr>
        <w:ind w:left="1440" w:right="720" w:hanging="720"/>
      </w:pPr>
    </w:p>
    <w:p w14:paraId="7E027486" w14:textId="77777777" w:rsidR="000D3CE5" w:rsidRPr="00EC79EA" w:rsidRDefault="00FF18C2" w:rsidP="00EC79EA">
      <w:pPr>
        <w:pStyle w:val="ListParagraph"/>
        <w:numPr>
          <w:ilvl w:val="0"/>
          <w:numId w:val="42"/>
        </w:numPr>
        <w:spacing w:after="0" w:line="240" w:lineRule="auto"/>
        <w:ind w:left="1440" w:right="720" w:hanging="720"/>
        <w:jc w:val="both"/>
      </w:pPr>
      <w:r w:rsidRPr="00EC79EA">
        <w:t>Certain third-party entities are willing and able to lend their resources to the cleanup of these abandoned mine sites, but their efforts are stymied by the threat of assumed liability; and</w:t>
      </w:r>
    </w:p>
    <w:p w14:paraId="3F3D331D" w14:textId="77777777" w:rsidR="000D3CE5" w:rsidRPr="00EC79EA" w:rsidRDefault="00FF18C2" w:rsidP="00EC79EA">
      <w:pPr>
        <w:pStyle w:val="ListParagraph"/>
        <w:keepNext/>
        <w:keepLines/>
        <w:numPr>
          <w:ilvl w:val="0"/>
          <w:numId w:val="42"/>
        </w:numPr>
        <w:spacing w:after="0" w:line="240" w:lineRule="auto"/>
        <w:ind w:left="1440" w:right="720" w:hanging="720"/>
        <w:jc w:val="both"/>
      </w:pPr>
      <w:r w:rsidRPr="00EC79EA">
        <w:lastRenderedPageBreak/>
        <w:t xml:space="preserve">Empowering third parties to assist in reclamation efforts is vital to resolving the longstanding issue of abandoned </w:t>
      </w:r>
      <w:proofErr w:type="spellStart"/>
      <w:r w:rsidRPr="00EC79EA">
        <w:t>hardrock</w:t>
      </w:r>
      <w:proofErr w:type="spellEnd"/>
      <w:r w:rsidRPr="00EC79EA">
        <w:t xml:space="preserve"> mines.</w:t>
      </w:r>
    </w:p>
    <w:p w14:paraId="29DEB1E2" w14:textId="77777777" w:rsidR="000D3CE5" w:rsidRPr="00EC79EA" w:rsidRDefault="000D3CE5" w:rsidP="00EC79EA"/>
    <w:p w14:paraId="5F5AF67A" w14:textId="77777777" w:rsidR="000D3CE5" w:rsidRPr="00EC79EA" w:rsidRDefault="00FF18C2" w:rsidP="00EC79EA">
      <w:r w:rsidRPr="00EC79EA">
        <w:t>The Subcommittee heard from the following witnesses:</w:t>
      </w:r>
    </w:p>
    <w:p w14:paraId="3FAE9C2F" w14:textId="77777777" w:rsidR="000D3CE5" w:rsidRPr="00EC79EA" w:rsidRDefault="000D3CE5" w:rsidP="00EC79EA"/>
    <w:p w14:paraId="28AA8633" w14:textId="77777777" w:rsidR="000D3CE5" w:rsidRPr="00EC79EA" w:rsidRDefault="00FF18C2" w:rsidP="00EC79EA">
      <w:pPr>
        <w:pStyle w:val="ListParagraph"/>
        <w:numPr>
          <w:ilvl w:val="0"/>
          <w:numId w:val="43"/>
        </w:numPr>
        <w:spacing w:after="0" w:line="240" w:lineRule="auto"/>
        <w:ind w:left="1440" w:right="720" w:hanging="720"/>
        <w:jc w:val="both"/>
      </w:pPr>
      <w:r w:rsidRPr="00EC79EA">
        <w:t>Autumn Coleman, Vice President, National Association of Abandoned Mine Lands Programs, Program Manager, Abandoned Mine Lands Program, MDEQ;</w:t>
      </w:r>
    </w:p>
    <w:p w14:paraId="30EB252D" w14:textId="77777777" w:rsidR="000D3CE5" w:rsidRPr="00EC79EA" w:rsidRDefault="000D3CE5" w:rsidP="00EC79EA">
      <w:pPr>
        <w:ind w:left="1440" w:right="720" w:hanging="720"/>
      </w:pPr>
    </w:p>
    <w:p w14:paraId="47FDF03C" w14:textId="77777777" w:rsidR="000D3CE5" w:rsidRPr="00EC79EA" w:rsidRDefault="00E62816" w:rsidP="00EC79EA">
      <w:pPr>
        <w:pStyle w:val="ListParagraph"/>
        <w:numPr>
          <w:ilvl w:val="0"/>
          <w:numId w:val="43"/>
        </w:numPr>
        <w:spacing w:after="0" w:line="240" w:lineRule="auto"/>
        <w:ind w:left="1440" w:right="720" w:hanging="720"/>
        <w:jc w:val="both"/>
      </w:pPr>
      <w:r w:rsidRPr="00EC79EA">
        <w:t>Jeff Graves,</w:t>
      </w:r>
      <w:r w:rsidR="00FF18C2" w:rsidRPr="00EC79EA">
        <w:t xml:space="preserve"> Director, Office of Active and Inactive Mines, State of Colorado;</w:t>
      </w:r>
    </w:p>
    <w:p w14:paraId="73F6132C" w14:textId="77777777" w:rsidR="000D3CE5" w:rsidRPr="00EC79EA" w:rsidRDefault="000D3CE5" w:rsidP="00EC79EA">
      <w:pPr>
        <w:ind w:left="1440" w:right="720" w:hanging="720"/>
      </w:pPr>
    </w:p>
    <w:p w14:paraId="424A75F8" w14:textId="77777777" w:rsidR="000D3CE5" w:rsidRPr="00EC79EA" w:rsidRDefault="00FF18C2" w:rsidP="00EC79EA">
      <w:pPr>
        <w:pStyle w:val="ListParagraph"/>
        <w:numPr>
          <w:ilvl w:val="0"/>
          <w:numId w:val="43"/>
        </w:numPr>
        <w:spacing w:after="0" w:line="240" w:lineRule="auto"/>
        <w:ind w:left="1440" w:right="720" w:hanging="720"/>
        <w:jc w:val="both"/>
      </w:pPr>
      <w:r w:rsidRPr="00EC79EA">
        <w:t xml:space="preserve">David </w:t>
      </w:r>
      <w:proofErr w:type="spellStart"/>
      <w:r w:rsidRPr="00EC79EA">
        <w:t>Strohmaier</w:t>
      </w:r>
      <w:proofErr w:type="spellEnd"/>
      <w:r w:rsidRPr="00EC79EA">
        <w:t>, County Commissioner, Missoula County, Montana; and</w:t>
      </w:r>
    </w:p>
    <w:p w14:paraId="3D9C9604" w14:textId="77777777" w:rsidR="000D3CE5" w:rsidRPr="00EC79EA" w:rsidRDefault="000D3CE5" w:rsidP="00EC79EA">
      <w:pPr>
        <w:ind w:left="1440" w:right="720" w:hanging="720"/>
      </w:pPr>
    </w:p>
    <w:p w14:paraId="3B33F903" w14:textId="77777777" w:rsidR="000D3CE5" w:rsidRPr="00EC79EA" w:rsidRDefault="00FF18C2" w:rsidP="00EC79EA">
      <w:pPr>
        <w:pStyle w:val="ListParagraph"/>
        <w:numPr>
          <w:ilvl w:val="0"/>
          <w:numId w:val="43"/>
        </w:numPr>
        <w:spacing w:after="0" w:line="240" w:lineRule="auto"/>
        <w:ind w:left="1440" w:right="720" w:hanging="720"/>
        <w:jc w:val="both"/>
      </w:pPr>
      <w:r w:rsidRPr="00EC79EA">
        <w:t>Chris Wood, President and CEO, Trout Unlimited.</w:t>
      </w:r>
    </w:p>
    <w:p w14:paraId="53E4AE99" w14:textId="77777777" w:rsidR="000D3CE5" w:rsidRPr="00EC79EA" w:rsidRDefault="000D3CE5" w:rsidP="00EC79EA"/>
    <w:p w14:paraId="070AFA81" w14:textId="77777777" w:rsidR="000D3CE5" w:rsidRPr="00EC79EA" w:rsidRDefault="00FF18C2" w:rsidP="00EC79EA">
      <w:r w:rsidRPr="00EC79EA">
        <w:t xml:space="preserve">During the hearing, Subcommittee members appeared to agree on the need for legislation to limit environmental liabilities for “Good Samaritan” parties seeking to remediate contamination voluntarily at abandoned mines.  Subcommittee Chair Paul </w:t>
      </w:r>
      <w:proofErr w:type="spellStart"/>
      <w:r w:rsidRPr="00EC79EA">
        <w:t>Gosar</w:t>
      </w:r>
      <w:proofErr w:type="spellEnd"/>
      <w:r w:rsidRPr="00EC79EA">
        <w:t xml:space="preserve"> (R-AZ) stated that he wants a pilot program that would indicate whether third parties could step in to clean up abandoned </w:t>
      </w:r>
      <w:proofErr w:type="spellStart"/>
      <w:r w:rsidRPr="00EC79EA">
        <w:t>hardrock</w:t>
      </w:r>
      <w:proofErr w:type="spellEnd"/>
      <w:r w:rsidRPr="00EC79EA">
        <w:t xml:space="preserve"> mines successfully.  Representative Scott Tipton (R-CO) noted that “liability has always been the sticking point” on Good Samaritan cleanups of abandoned </w:t>
      </w:r>
      <w:proofErr w:type="gramStart"/>
      <w:r w:rsidRPr="00EC79EA">
        <w:t>mines, but</w:t>
      </w:r>
      <w:proofErr w:type="gramEnd"/>
      <w:r w:rsidRPr="00EC79EA">
        <w:t xml:space="preserve"> stated that he was “gratified” to hear lawmakers from both sides of the aisle recognize the need to start addressing this.  Wood urged Congress to authorize an EPA-led pilot program of five to ten projects in the western states to test the idea.  </w:t>
      </w:r>
    </w:p>
    <w:p w14:paraId="4B38CEF3" w14:textId="77777777" w:rsidR="000D3CE5" w:rsidRPr="00EC79EA" w:rsidRDefault="000D3CE5" w:rsidP="00EC79EA"/>
    <w:p w14:paraId="5D6820EF" w14:textId="77777777" w:rsidR="000D3CE5" w:rsidRPr="00EC79EA" w:rsidRDefault="00FF18C2" w:rsidP="00EC79EA">
      <w:pPr>
        <w:widowControl/>
        <w:jc w:val="center"/>
        <w:rPr>
          <w:b/>
        </w:rPr>
      </w:pPr>
      <w:r w:rsidRPr="00EC79EA">
        <w:rPr>
          <w:b/>
        </w:rPr>
        <w:t>TSCA ISSUES</w:t>
      </w:r>
    </w:p>
    <w:p w14:paraId="7EC456CC" w14:textId="77777777" w:rsidR="000D3CE5" w:rsidRPr="00EC79EA" w:rsidRDefault="000D3CE5" w:rsidP="00EC79EA">
      <w:pPr>
        <w:widowControl/>
      </w:pPr>
    </w:p>
    <w:p w14:paraId="4D42D87A" w14:textId="77777777" w:rsidR="000D3CE5" w:rsidRPr="00EC79EA" w:rsidRDefault="00FF18C2" w:rsidP="00EC79EA">
      <w:pPr>
        <w:widowControl/>
        <w:rPr>
          <w:b/>
        </w:rPr>
      </w:pPr>
      <w:r w:rsidRPr="00EC79EA">
        <w:rPr>
          <w:b/>
        </w:rPr>
        <w:t xml:space="preserve">EPA Publishes 2018 Plan </w:t>
      </w:r>
      <w:proofErr w:type="gramStart"/>
      <w:r w:rsidRPr="00EC79EA">
        <w:rPr>
          <w:b/>
        </w:rPr>
        <w:t>For</w:t>
      </w:r>
      <w:proofErr w:type="gramEnd"/>
      <w:r w:rsidRPr="00EC79EA">
        <w:rPr>
          <w:b/>
        </w:rPr>
        <w:t xml:space="preserve"> Chemical Risk Evaluations Under TSCA</w:t>
      </w:r>
    </w:p>
    <w:p w14:paraId="1877B0A4" w14:textId="77777777" w:rsidR="000D3CE5" w:rsidRPr="00EC79EA" w:rsidRDefault="000D3CE5" w:rsidP="00EC79EA">
      <w:pPr>
        <w:widowControl/>
      </w:pPr>
    </w:p>
    <w:p w14:paraId="42C041C5" w14:textId="77777777" w:rsidR="000D3CE5" w:rsidRPr="00EC79EA" w:rsidRDefault="00FF18C2" w:rsidP="00EC79EA">
      <w:pPr>
        <w:widowControl/>
      </w:pPr>
      <w:r w:rsidRPr="00EC79EA">
        <w:t xml:space="preserve">EPA published on January 31, 2018, its </w:t>
      </w:r>
      <w:hyperlink r:id="rId17" w:history="1">
        <w:r w:rsidRPr="00EC79EA">
          <w:rPr>
            <w:rStyle w:val="Hyperlink"/>
          </w:rPr>
          <w:t>2018 annual plan</w:t>
        </w:r>
      </w:hyperlink>
      <w:r w:rsidRPr="00EC79EA">
        <w:t xml:space="preserve"> on chemical risk evaluations.  The annual plan identifies the next steps for the first ten chemical reviews currently underway and describes EPA’s work in </w:t>
      </w:r>
      <w:r w:rsidRPr="00EC79EA">
        <w:rPr>
          <w:b/>
        </w:rPr>
        <w:t>2018</w:t>
      </w:r>
      <w:r w:rsidRPr="00EC79EA">
        <w:t xml:space="preserve"> to prepare for future risk evaluations.  According to EPA, it “continues to make steady progress in meeting [its] statutory requirements under amended TSCA.”  EPA states that it will initiate prioritization for 40 chemicals -- at least 20 Low-Priority and 20 High-Priority candidates -- by the </w:t>
      </w:r>
      <w:r w:rsidRPr="00EC79EA">
        <w:rPr>
          <w:b/>
        </w:rPr>
        <w:t>end of calendar year 2018</w:t>
      </w:r>
      <w:r w:rsidRPr="00EC79EA">
        <w:t xml:space="preserve">.  By </w:t>
      </w:r>
      <w:r w:rsidRPr="00EC79EA">
        <w:rPr>
          <w:b/>
        </w:rPr>
        <w:t>December 22, 2019</w:t>
      </w:r>
      <w:r w:rsidRPr="00EC79EA">
        <w:t>, EPA states that it will have designated 20 substances as Low-Priority and initiated risk evaluations on 20 High-Priority substances.  The first ten chemical reviews currently underway are:</w:t>
      </w:r>
    </w:p>
    <w:p w14:paraId="64A7F343" w14:textId="77777777" w:rsidR="000D3CE5" w:rsidRPr="00EC79EA" w:rsidRDefault="000D3CE5" w:rsidP="00EC79EA"/>
    <w:p w14:paraId="1A2C433C" w14:textId="77777777" w:rsidR="000D3CE5" w:rsidRPr="00EC79EA" w:rsidRDefault="00FF18C2" w:rsidP="00EC79EA">
      <w:pPr>
        <w:keepNext/>
        <w:keepLines/>
        <w:widowControl/>
        <w:ind w:firstLine="720"/>
      </w:pPr>
      <w:r w:rsidRPr="00EC79EA">
        <w:t>1, 4-Dioxane</w:t>
      </w:r>
      <w:r w:rsidRPr="00EC79EA">
        <w:tab/>
      </w:r>
      <w:r w:rsidRPr="00EC79EA">
        <w:tab/>
      </w:r>
      <w:r w:rsidRPr="00EC79EA">
        <w:tab/>
      </w:r>
      <w:r w:rsidRPr="00EC79EA">
        <w:tab/>
      </w:r>
      <w:r w:rsidRPr="00EC79EA">
        <w:tab/>
      </w:r>
      <w:r w:rsidRPr="00EC79EA">
        <w:tab/>
        <w:t>Methylene Chloride</w:t>
      </w:r>
    </w:p>
    <w:p w14:paraId="2F1C0BDF" w14:textId="77777777" w:rsidR="000D3CE5" w:rsidRPr="00EC79EA" w:rsidRDefault="00FF18C2" w:rsidP="00EC79EA">
      <w:pPr>
        <w:keepNext/>
        <w:keepLines/>
        <w:widowControl/>
        <w:ind w:firstLine="720"/>
      </w:pPr>
      <w:r w:rsidRPr="00EC79EA">
        <w:t>1-Bromopropane</w:t>
      </w:r>
      <w:r w:rsidRPr="00EC79EA">
        <w:tab/>
      </w:r>
      <w:r w:rsidRPr="00EC79EA">
        <w:tab/>
      </w:r>
      <w:r w:rsidRPr="00EC79EA">
        <w:tab/>
      </w:r>
      <w:r w:rsidRPr="00EC79EA">
        <w:tab/>
      </w:r>
      <w:r w:rsidRPr="00EC79EA">
        <w:tab/>
        <w:t>N-</w:t>
      </w:r>
      <w:proofErr w:type="spellStart"/>
      <w:r w:rsidRPr="00EC79EA">
        <w:t>Methylpyrrolidone</w:t>
      </w:r>
      <w:proofErr w:type="spellEnd"/>
    </w:p>
    <w:p w14:paraId="620030E4" w14:textId="77777777" w:rsidR="000D3CE5" w:rsidRPr="00EC79EA" w:rsidRDefault="00FF18C2" w:rsidP="00EC79EA">
      <w:pPr>
        <w:ind w:firstLine="720"/>
      </w:pPr>
      <w:r w:rsidRPr="00EC79EA">
        <w:t>Asbestos</w:t>
      </w:r>
      <w:r w:rsidRPr="00EC79EA">
        <w:tab/>
      </w:r>
      <w:r w:rsidRPr="00EC79EA">
        <w:tab/>
      </w:r>
      <w:r w:rsidRPr="00EC79EA">
        <w:tab/>
      </w:r>
      <w:r w:rsidRPr="00EC79EA">
        <w:tab/>
      </w:r>
      <w:r w:rsidRPr="00EC79EA">
        <w:tab/>
      </w:r>
      <w:r w:rsidRPr="00EC79EA">
        <w:tab/>
        <w:t>Pigment Violet 29</w:t>
      </w:r>
    </w:p>
    <w:p w14:paraId="3C609496" w14:textId="77777777" w:rsidR="000D3CE5" w:rsidRPr="00EC79EA" w:rsidRDefault="00FF18C2" w:rsidP="00EC79EA">
      <w:pPr>
        <w:ind w:firstLine="720"/>
      </w:pPr>
      <w:r w:rsidRPr="00EC79EA">
        <w:lastRenderedPageBreak/>
        <w:t>Carbon Tetrachloride</w:t>
      </w:r>
      <w:r w:rsidRPr="00EC79EA">
        <w:tab/>
      </w:r>
      <w:r w:rsidRPr="00EC79EA">
        <w:tab/>
      </w:r>
      <w:r w:rsidRPr="00EC79EA">
        <w:tab/>
      </w:r>
      <w:r w:rsidRPr="00EC79EA">
        <w:tab/>
      </w:r>
      <w:r w:rsidRPr="00EC79EA">
        <w:tab/>
        <w:t>Trichloroethylene</w:t>
      </w:r>
    </w:p>
    <w:p w14:paraId="60311EB3" w14:textId="77777777" w:rsidR="000D3CE5" w:rsidRPr="00EC79EA" w:rsidRDefault="00FF18C2" w:rsidP="00EC79EA">
      <w:pPr>
        <w:ind w:firstLine="720"/>
      </w:pPr>
      <w:r w:rsidRPr="00EC79EA">
        <w:t>Cyclic Aliphatic Bromide Cluster (HBCD)</w:t>
      </w:r>
      <w:r w:rsidRPr="00EC79EA">
        <w:tab/>
      </w:r>
      <w:r w:rsidRPr="00EC79EA">
        <w:tab/>
        <w:t>Tetrachloroethylene</w:t>
      </w:r>
    </w:p>
    <w:p w14:paraId="57739B8F" w14:textId="77777777" w:rsidR="000D3CE5" w:rsidRPr="00EC79EA" w:rsidRDefault="000D3CE5" w:rsidP="00EC79EA"/>
    <w:p w14:paraId="09239152" w14:textId="77777777" w:rsidR="000D3CE5" w:rsidRPr="00EC79EA" w:rsidRDefault="00FF18C2" w:rsidP="00EC79EA">
      <w:pPr>
        <w:rPr>
          <w:b/>
        </w:rPr>
      </w:pPr>
      <w:r w:rsidRPr="00EC79EA">
        <w:rPr>
          <w:b/>
        </w:rPr>
        <w:t xml:space="preserve">EPA Seeks Comment </w:t>
      </w:r>
      <w:proofErr w:type="gramStart"/>
      <w:r w:rsidRPr="00EC79EA">
        <w:rPr>
          <w:b/>
        </w:rPr>
        <w:t>On</w:t>
      </w:r>
      <w:proofErr w:type="gramEnd"/>
      <w:r w:rsidRPr="00EC79EA">
        <w:rPr>
          <w:b/>
        </w:rPr>
        <w:t xml:space="preserve"> Third Approach For Assigning And Applying UIDs</w:t>
      </w:r>
    </w:p>
    <w:p w14:paraId="348ABE7F" w14:textId="77777777" w:rsidR="000D3CE5" w:rsidRPr="00EC79EA" w:rsidRDefault="000D3CE5" w:rsidP="00EC79EA"/>
    <w:p w14:paraId="49BAE175" w14:textId="77777777" w:rsidR="000D3CE5" w:rsidRPr="00EC79EA" w:rsidRDefault="00FF18C2" w:rsidP="00EC79EA">
      <w:r w:rsidRPr="00EC79EA">
        <w:t xml:space="preserve">On February 8, 2018, EPA published a </w:t>
      </w:r>
      <w:hyperlink r:id="rId18" w:history="1">
        <w:r w:rsidRPr="00EC79EA">
          <w:rPr>
            <w:rStyle w:val="Hyperlink"/>
            <w:i/>
          </w:rPr>
          <w:t>Federal Register</w:t>
        </w:r>
        <w:r w:rsidRPr="00EC79EA">
          <w:rPr>
            <w:rStyle w:val="Hyperlink"/>
          </w:rPr>
          <w:t xml:space="preserve"> notice</w:t>
        </w:r>
      </w:hyperlink>
      <w:r w:rsidRPr="00EC79EA">
        <w:t xml:space="preserve"> requesting comment on an additional approach for assigning and applying UIDs.  Under new TSCA, EPA must develop a system to assign a UID whenever it approves a CBI claim for the specific chemical identity of a chemical substance, to apply this UID to other information concerning the same substance, and to ensure that any nonconfidential information received by EPA identifies the chemical substance using the UID while the specific chemical identity of the chemical substance is protected from disclosure.  EPA previously requested comment on approaches for assigning and applying </w:t>
      </w:r>
      <w:proofErr w:type="gramStart"/>
      <w:r w:rsidRPr="00EC79EA">
        <w:t>UIDs, and</w:t>
      </w:r>
      <w:proofErr w:type="gramEnd"/>
      <w:r w:rsidRPr="00EC79EA">
        <w:t xml:space="preserve"> has developed a third alternative approach on which it now requests comment.  Under this approach, EPA would assign one UID per chemical substance.  In most cases, EPA would apply the UID to all non-confidential information concerning the same chemical substance, from any company.  In a small number of cases, however, EPA would not apply the UID to some non-confidential documents, to preserve approved CBI claims for specific chemical identity where the non-confidential document itself does not undermine the CBI claim, but EPA’s application of the UID to that document would result in a linkage that would undermine the CBI claim.  The basic criterion for application of the UID to submissions made by different submitters is that EPA’s act of applying the UID must not disclose to the public the confidential specific chemical identity that the UID was assigned to protect.  Comments were due March 12, 2018.</w:t>
      </w:r>
    </w:p>
    <w:p w14:paraId="21681EBF" w14:textId="77777777" w:rsidR="000D3CE5" w:rsidRPr="00EC79EA" w:rsidRDefault="000D3CE5" w:rsidP="00EC79EA"/>
    <w:p w14:paraId="327045AD" w14:textId="77777777" w:rsidR="000D3CE5" w:rsidRPr="00EC79EA" w:rsidRDefault="00FF18C2" w:rsidP="00EC79EA">
      <w:pPr>
        <w:rPr>
          <w:b/>
        </w:rPr>
      </w:pPr>
      <w:r w:rsidRPr="00C911F0">
        <w:rPr>
          <w:b/>
          <w:highlight w:val="yellow"/>
        </w:rPr>
        <w:t xml:space="preserve">EPA Issues Proposed Rule Concerning User Fees </w:t>
      </w:r>
      <w:proofErr w:type="gramStart"/>
      <w:r w:rsidRPr="00C911F0">
        <w:rPr>
          <w:b/>
          <w:highlight w:val="yellow"/>
        </w:rPr>
        <w:t>For</w:t>
      </w:r>
      <w:proofErr w:type="gramEnd"/>
      <w:r w:rsidRPr="00C911F0">
        <w:rPr>
          <w:b/>
          <w:highlight w:val="yellow"/>
        </w:rPr>
        <w:t xml:space="preserve"> The Administration Of TSCA</w:t>
      </w:r>
    </w:p>
    <w:p w14:paraId="182DD1D8" w14:textId="77777777" w:rsidR="000D3CE5" w:rsidRPr="00EC79EA" w:rsidRDefault="000D3CE5" w:rsidP="00EC79EA"/>
    <w:p w14:paraId="30D816B3" w14:textId="77777777" w:rsidR="000D3CE5" w:rsidRPr="00EC79EA" w:rsidRDefault="00FF18C2" w:rsidP="00EC79EA">
      <w:r w:rsidRPr="00EC79EA">
        <w:t xml:space="preserve">On February 26 2018, EPA published in the </w:t>
      </w:r>
      <w:r w:rsidRPr="00EC79EA">
        <w:rPr>
          <w:i/>
        </w:rPr>
        <w:t>Federal Register</w:t>
      </w:r>
      <w:r w:rsidRPr="00EC79EA">
        <w:t xml:space="preserve"> a </w:t>
      </w:r>
      <w:hyperlink r:id="rId19" w:history="1">
        <w:r w:rsidRPr="00EC79EA">
          <w:rPr>
            <w:rStyle w:val="Hyperlink"/>
          </w:rPr>
          <w:t>proposed rule</w:t>
        </w:r>
      </w:hyperlink>
      <w:r w:rsidRPr="00EC79EA">
        <w:t xml:space="preserve"> concerning user fees for the administration of TSCA.  EPA proposes to set user fees applicable to any person required to submit information to EPA under TSCA Section 4 or a notice, including an exemption or other information, to be reviewed by the Administrator under TSCA Section 5, or who manufactures (including imports) a chemical substance that is the subject of a risk evaluation under TSCA Section 6(b).  The proposed rule provides a description of proposed TSCA fees and fee categories for FYs </w:t>
      </w:r>
      <w:r w:rsidRPr="00EC79EA">
        <w:rPr>
          <w:b/>
        </w:rPr>
        <w:t>2019</w:t>
      </w:r>
      <w:r w:rsidRPr="00EC79EA">
        <w:t xml:space="preserve">, </w:t>
      </w:r>
      <w:r w:rsidRPr="00EC79EA">
        <w:rPr>
          <w:b/>
        </w:rPr>
        <w:t>2020</w:t>
      </w:r>
      <w:r w:rsidRPr="00EC79EA">
        <w:t xml:space="preserve">, and </w:t>
      </w:r>
      <w:r w:rsidRPr="00EC79EA">
        <w:rPr>
          <w:b/>
        </w:rPr>
        <w:t>2021</w:t>
      </w:r>
      <w:r w:rsidRPr="00EC79EA">
        <w:t xml:space="preserve">, and explains the methodology by which the proposed TSCA user fees were determined and would be determined for subsequent FYs.  EPA is also proposing standards for determining which persons qualify as small business concerns and thus would be subject to lower fee payments.  Comments are due </w:t>
      </w:r>
      <w:r w:rsidRPr="00EC79EA">
        <w:rPr>
          <w:b/>
        </w:rPr>
        <w:t>April 27, 2018</w:t>
      </w:r>
      <w:r w:rsidRPr="00EC79EA">
        <w:t>.  More information on the proposed rule is available in B&amp;C</w:t>
      </w:r>
      <w:r w:rsidRPr="00EC79EA">
        <w:rPr>
          <w:vertAlign w:val="superscript"/>
        </w:rPr>
        <w:t>®</w:t>
      </w:r>
      <w:r w:rsidRPr="00EC79EA">
        <w:t>’s February 9, 2018, memorandum, “</w:t>
      </w:r>
      <w:hyperlink r:id="rId20" w:history="1">
        <w:r w:rsidRPr="00EC79EA">
          <w:rPr>
            <w:rStyle w:val="Hyperlink"/>
          </w:rPr>
          <w:t>Administrator Pruitt Signs TSCA User Fee Proposal</w:t>
        </w:r>
      </w:hyperlink>
      <w:r w:rsidRPr="00EC79EA">
        <w:t>.”</w:t>
      </w:r>
    </w:p>
    <w:p w14:paraId="6CEB9296" w14:textId="77777777" w:rsidR="000D3CE5" w:rsidRPr="00EC79EA" w:rsidRDefault="000D3CE5" w:rsidP="00EC79EA"/>
    <w:p w14:paraId="24638239" w14:textId="77777777" w:rsidR="000D3CE5" w:rsidRPr="00EC79EA" w:rsidRDefault="00FF18C2" w:rsidP="00EC79EA">
      <w:pPr>
        <w:keepNext/>
        <w:keepLines/>
        <w:widowControl/>
        <w:jc w:val="center"/>
        <w:rPr>
          <w:b/>
        </w:rPr>
      </w:pPr>
      <w:bookmarkStart w:id="40" w:name="_Mine_Cleanup_Safety"/>
      <w:bookmarkStart w:id="41" w:name="_EPA_Announces_National"/>
      <w:bookmarkStart w:id="42" w:name="_Senate_Begins_To"/>
      <w:bookmarkStart w:id="43" w:name="_MSHA_Preparing_Rule"/>
      <w:bookmarkStart w:id="44" w:name="_MSHA_Proposes_To"/>
      <w:bookmarkStart w:id="45" w:name="_House_Passes_Package"/>
      <w:bookmarkStart w:id="46" w:name="_OIG_Pauses_Program"/>
      <w:bookmarkStart w:id="47" w:name="_GAO_Recommends_Federal"/>
      <w:bookmarkStart w:id="48" w:name="_President-Elect_Trump_Pledges"/>
      <w:bookmarkStart w:id="49" w:name="_House_Committee_Claims"/>
      <w:bookmarkEnd w:id="40"/>
      <w:bookmarkEnd w:id="41"/>
      <w:bookmarkEnd w:id="42"/>
      <w:bookmarkEnd w:id="43"/>
      <w:bookmarkEnd w:id="44"/>
      <w:bookmarkEnd w:id="45"/>
      <w:bookmarkEnd w:id="46"/>
      <w:bookmarkEnd w:id="47"/>
      <w:bookmarkEnd w:id="48"/>
      <w:bookmarkEnd w:id="49"/>
      <w:r w:rsidRPr="00EC79EA">
        <w:rPr>
          <w:b/>
        </w:rPr>
        <w:lastRenderedPageBreak/>
        <w:t>MISCELLANEOUS ISSUES</w:t>
      </w:r>
    </w:p>
    <w:p w14:paraId="188796C2" w14:textId="77777777" w:rsidR="000D3CE5" w:rsidRPr="00EC79EA" w:rsidRDefault="000D3CE5" w:rsidP="00EC79EA">
      <w:pPr>
        <w:keepNext/>
        <w:keepLines/>
      </w:pPr>
    </w:p>
    <w:p w14:paraId="24AF3FFC" w14:textId="77777777" w:rsidR="000D3CE5" w:rsidRPr="00EC79EA" w:rsidRDefault="00FF18C2" w:rsidP="00EC79EA">
      <w:pPr>
        <w:keepNext/>
        <w:keepLines/>
        <w:rPr>
          <w:b/>
        </w:rPr>
      </w:pPr>
      <w:r w:rsidRPr="00C911F0">
        <w:rPr>
          <w:b/>
          <w:highlight w:val="yellow"/>
        </w:rPr>
        <w:t xml:space="preserve">Pruitt Outlines New Restrictions </w:t>
      </w:r>
      <w:proofErr w:type="gramStart"/>
      <w:r w:rsidRPr="00C911F0">
        <w:rPr>
          <w:b/>
          <w:highlight w:val="yellow"/>
        </w:rPr>
        <w:t>On</w:t>
      </w:r>
      <w:proofErr w:type="gramEnd"/>
      <w:r w:rsidRPr="00C911F0">
        <w:rPr>
          <w:b/>
          <w:highlight w:val="yellow"/>
        </w:rPr>
        <w:t xml:space="preserve"> Science Used In Rulemaking</w:t>
      </w:r>
    </w:p>
    <w:p w14:paraId="7236602A" w14:textId="77777777" w:rsidR="000D3CE5" w:rsidRPr="00EC79EA" w:rsidRDefault="000D3CE5" w:rsidP="00EC79EA">
      <w:pPr>
        <w:keepNext/>
        <w:keepLines/>
      </w:pPr>
    </w:p>
    <w:p w14:paraId="2B141F40" w14:textId="77777777" w:rsidR="000D3CE5" w:rsidRPr="00EC79EA" w:rsidRDefault="00FF18C2" w:rsidP="00EC79EA">
      <w:pPr>
        <w:keepNext/>
        <w:keepLines/>
      </w:pPr>
      <w:r w:rsidRPr="00EC79EA">
        <w:t xml:space="preserve">During a March 13, 2018, interview, EPA Administrator Scott Pruitt stated that EPA should rely on science that is “very objective, very transparent and very open,” describing his concern as focused on third-party research in which findings are published but the underlying data and methodology are not open for scrutiny.  </w:t>
      </w:r>
      <w:r w:rsidRPr="00C911F0">
        <w:rPr>
          <w:highlight w:val="yellow"/>
        </w:rPr>
        <w:t>According to Pruitt, whenever EPA receives scientific evaluations from third parties, “the methodology and data need to be a part of the official record -- the rulemaking -- so that you and others can look at it and say, ‘was it wisely done?’”</w:t>
      </w:r>
      <w:r w:rsidRPr="00EC79EA">
        <w:t xml:space="preserve">  Critics of the policy, which has not been formally announced, argue that the release of underlying data could potentially violate medical privacy protections or require the disclosure of trade secret information and other data that form the basis for air quality standards, pesticide and chemical approvals, and other rules.</w:t>
      </w:r>
    </w:p>
    <w:p w14:paraId="3DFF949F" w14:textId="77777777" w:rsidR="000D3CE5" w:rsidRPr="00EC79EA" w:rsidRDefault="000D3CE5" w:rsidP="00EC79EA"/>
    <w:p w14:paraId="10F55E59" w14:textId="77777777" w:rsidR="000D3CE5" w:rsidRPr="00EC79EA" w:rsidRDefault="00FF18C2" w:rsidP="00EC79EA">
      <w:pPr>
        <w:widowControl/>
        <w:jc w:val="center"/>
        <w:rPr>
          <w:b/>
        </w:rPr>
      </w:pPr>
      <w:r w:rsidRPr="00EC79EA">
        <w:rPr>
          <w:b/>
        </w:rPr>
        <w:t>STATE ISSUES</w:t>
      </w:r>
    </w:p>
    <w:p w14:paraId="303133DB" w14:textId="77777777" w:rsidR="000D3CE5" w:rsidRPr="00EC79EA" w:rsidRDefault="000D3CE5" w:rsidP="00EC79EA"/>
    <w:p w14:paraId="6A9F22E3" w14:textId="77777777" w:rsidR="000D3CE5" w:rsidRPr="00EC79EA" w:rsidRDefault="00FF18C2" w:rsidP="00EC79EA">
      <w:pPr>
        <w:jc w:val="center"/>
        <w:rPr>
          <w:b/>
          <w:i/>
          <w:color w:val="000000"/>
        </w:rPr>
      </w:pPr>
      <w:r w:rsidRPr="00EC79EA">
        <w:rPr>
          <w:b/>
          <w:i/>
          <w:color w:val="000000"/>
        </w:rPr>
        <w:t>California</w:t>
      </w:r>
    </w:p>
    <w:p w14:paraId="760A3F7E" w14:textId="77777777" w:rsidR="000D3CE5" w:rsidRPr="00EC79EA" w:rsidRDefault="000D3CE5" w:rsidP="00EC79EA">
      <w:pPr>
        <w:rPr>
          <w:color w:val="000000"/>
        </w:rPr>
      </w:pPr>
    </w:p>
    <w:p w14:paraId="0232CD99" w14:textId="77777777" w:rsidR="000D3CE5" w:rsidRPr="00EC79EA" w:rsidRDefault="00FF18C2" w:rsidP="00EC79EA">
      <w:pPr>
        <w:rPr>
          <w:b/>
        </w:rPr>
      </w:pPr>
      <w:bookmarkStart w:id="50" w:name="_GRSP_Will_Meet"/>
      <w:bookmarkEnd w:id="50"/>
      <w:r w:rsidRPr="00EC79EA">
        <w:rPr>
          <w:b/>
        </w:rPr>
        <w:t>CDTSC Releases Draft 2018-2020 Priority Product Work Plan</w:t>
      </w:r>
    </w:p>
    <w:p w14:paraId="72060DC4" w14:textId="77777777" w:rsidR="000D3CE5" w:rsidRPr="00EC79EA" w:rsidRDefault="000D3CE5" w:rsidP="00EC79EA"/>
    <w:p w14:paraId="6D4B1855" w14:textId="77777777" w:rsidR="000D3CE5" w:rsidRPr="00EC79EA" w:rsidRDefault="00FF18C2" w:rsidP="00EC79EA">
      <w:r w:rsidRPr="00EC79EA">
        <w:t xml:space="preserve">On February 8, 2018, CDTSC released its </w:t>
      </w:r>
      <w:hyperlink r:id="rId21" w:history="1">
        <w:r w:rsidRPr="00EC79EA">
          <w:rPr>
            <w:rStyle w:val="Hyperlink"/>
          </w:rPr>
          <w:t xml:space="preserve">draft </w:t>
        </w:r>
        <w:r w:rsidRPr="00EC79EA">
          <w:rPr>
            <w:rStyle w:val="Hyperlink"/>
            <w:b/>
          </w:rPr>
          <w:t>2018-2020</w:t>
        </w:r>
        <w:r w:rsidRPr="00EC79EA">
          <w:rPr>
            <w:rStyle w:val="Hyperlink"/>
          </w:rPr>
          <w:t xml:space="preserve"> Priority Product Work Plan</w:t>
        </w:r>
      </w:hyperlink>
      <w:r w:rsidRPr="00EC79EA">
        <w:t xml:space="preserve"> for public review.  CDTSC must issue a Work Plan every three years that identifies the product categories it will evaluate during that three-year period to identify Priority Products.  The Work Plan provides a general explanation of CDTSC’s decision to select the product categories identified in the Work Plan:</w:t>
      </w:r>
    </w:p>
    <w:p w14:paraId="74F156A8" w14:textId="77777777" w:rsidR="000D3CE5" w:rsidRPr="00EC79EA" w:rsidRDefault="000D3CE5" w:rsidP="00EC79EA"/>
    <w:p w14:paraId="69966CE1" w14:textId="77777777" w:rsidR="000D3CE5" w:rsidRPr="00EC79EA" w:rsidRDefault="00FF18C2" w:rsidP="00EC79EA">
      <w:pPr>
        <w:pStyle w:val="ListParagraph"/>
        <w:numPr>
          <w:ilvl w:val="0"/>
          <w:numId w:val="35"/>
        </w:numPr>
        <w:spacing w:after="0" w:line="240" w:lineRule="auto"/>
        <w:ind w:left="1440" w:right="720" w:hanging="720"/>
        <w:jc w:val="both"/>
      </w:pPr>
      <w:r w:rsidRPr="00EC79EA">
        <w:t>Beauty, Personal Care, and Hygiene Products;</w:t>
      </w:r>
    </w:p>
    <w:p w14:paraId="4ADBEBB3" w14:textId="77777777" w:rsidR="000D3CE5" w:rsidRPr="00EC79EA" w:rsidRDefault="000D3CE5" w:rsidP="00EC79EA">
      <w:pPr>
        <w:ind w:left="1440" w:right="720" w:hanging="720"/>
      </w:pPr>
    </w:p>
    <w:p w14:paraId="71EE0472" w14:textId="77777777" w:rsidR="000D3CE5" w:rsidRPr="00EC79EA" w:rsidRDefault="00FF18C2" w:rsidP="00EC79EA">
      <w:pPr>
        <w:pStyle w:val="ListParagraph"/>
        <w:numPr>
          <w:ilvl w:val="0"/>
          <w:numId w:val="35"/>
        </w:numPr>
        <w:spacing w:after="0" w:line="240" w:lineRule="auto"/>
        <w:ind w:left="1440" w:right="720" w:hanging="720"/>
        <w:jc w:val="both"/>
      </w:pPr>
      <w:r w:rsidRPr="00EC79EA">
        <w:t>Cleaning Products;</w:t>
      </w:r>
    </w:p>
    <w:p w14:paraId="532D821F" w14:textId="77777777" w:rsidR="000D3CE5" w:rsidRPr="00EC79EA" w:rsidRDefault="000D3CE5" w:rsidP="00EC79EA">
      <w:pPr>
        <w:ind w:left="1440" w:right="720" w:hanging="720"/>
      </w:pPr>
    </w:p>
    <w:p w14:paraId="13E5D115" w14:textId="77777777" w:rsidR="000D3CE5" w:rsidRPr="00EC79EA" w:rsidRDefault="00FF18C2" w:rsidP="00EC79EA">
      <w:pPr>
        <w:pStyle w:val="ListParagraph"/>
        <w:numPr>
          <w:ilvl w:val="0"/>
          <w:numId w:val="35"/>
        </w:numPr>
        <w:spacing w:after="0" w:line="240" w:lineRule="auto"/>
        <w:ind w:left="1440" w:right="720" w:hanging="720"/>
        <w:jc w:val="both"/>
      </w:pPr>
      <w:r w:rsidRPr="00EC79EA">
        <w:t>Household, School, and Workplace Furnishings and Décor;</w:t>
      </w:r>
    </w:p>
    <w:p w14:paraId="7292C2BB" w14:textId="77777777" w:rsidR="000D3CE5" w:rsidRPr="00EC79EA" w:rsidRDefault="000D3CE5" w:rsidP="00EC79EA">
      <w:pPr>
        <w:ind w:right="720"/>
      </w:pPr>
    </w:p>
    <w:p w14:paraId="0345714E" w14:textId="77777777" w:rsidR="000D3CE5" w:rsidRPr="00EC79EA" w:rsidRDefault="00FF18C2" w:rsidP="00EC79EA">
      <w:pPr>
        <w:pStyle w:val="ListParagraph"/>
        <w:numPr>
          <w:ilvl w:val="0"/>
          <w:numId w:val="35"/>
        </w:numPr>
        <w:spacing w:after="0" w:line="240" w:lineRule="auto"/>
        <w:ind w:left="1440" w:right="720" w:hanging="720"/>
        <w:jc w:val="both"/>
      </w:pPr>
      <w:r w:rsidRPr="00EC79EA">
        <w:t>Building Products and Materials Used in Construction and Renovation;</w:t>
      </w:r>
    </w:p>
    <w:p w14:paraId="1A186A12" w14:textId="77777777" w:rsidR="000D3CE5" w:rsidRPr="00EC79EA" w:rsidRDefault="000D3CE5" w:rsidP="00EC79EA">
      <w:pPr>
        <w:ind w:left="1440" w:right="720" w:hanging="720"/>
      </w:pPr>
    </w:p>
    <w:p w14:paraId="35A9F8E1" w14:textId="77777777" w:rsidR="000D3CE5" w:rsidRPr="00EC79EA" w:rsidRDefault="00FF18C2" w:rsidP="00EC79EA">
      <w:pPr>
        <w:pStyle w:val="ListParagraph"/>
        <w:numPr>
          <w:ilvl w:val="0"/>
          <w:numId w:val="35"/>
        </w:numPr>
        <w:spacing w:after="0" w:line="240" w:lineRule="auto"/>
        <w:ind w:left="1440" w:right="720" w:hanging="720"/>
        <w:jc w:val="both"/>
      </w:pPr>
      <w:r w:rsidRPr="00EC79EA">
        <w:t>Consumable Office, School, and Business Supplies;</w:t>
      </w:r>
    </w:p>
    <w:p w14:paraId="54BD8D07" w14:textId="77777777" w:rsidR="000D3CE5" w:rsidRPr="00EC79EA" w:rsidRDefault="000D3CE5" w:rsidP="00EC79EA">
      <w:pPr>
        <w:ind w:left="1440" w:right="720" w:hanging="720"/>
      </w:pPr>
    </w:p>
    <w:p w14:paraId="06D835B7" w14:textId="77777777" w:rsidR="000D3CE5" w:rsidRPr="00EC79EA" w:rsidRDefault="00FF18C2" w:rsidP="00EC79EA">
      <w:pPr>
        <w:pStyle w:val="ListParagraph"/>
        <w:numPr>
          <w:ilvl w:val="0"/>
          <w:numId w:val="35"/>
        </w:numPr>
        <w:spacing w:after="0" w:line="240" w:lineRule="auto"/>
        <w:ind w:left="1440" w:right="720" w:hanging="720"/>
        <w:jc w:val="both"/>
      </w:pPr>
      <w:r w:rsidRPr="00EC79EA">
        <w:t>Food Packaging; and</w:t>
      </w:r>
    </w:p>
    <w:p w14:paraId="2F915DBC" w14:textId="77777777" w:rsidR="000D3CE5" w:rsidRPr="00EC79EA" w:rsidRDefault="000D3CE5" w:rsidP="00EC79EA">
      <w:pPr>
        <w:ind w:left="1440" w:right="720" w:hanging="720"/>
      </w:pPr>
    </w:p>
    <w:p w14:paraId="76C5CE3C" w14:textId="77777777" w:rsidR="000D3CE5" w:rsidRPr="00EC79EA" w:rsidRDefault="00FF18C2" w:rsidP="00EC79EA">
      <w:pPr>
        <w:pStyle w:val="ListParagraph"/>
        <w:numPr>
          <w:ilvl w:val="0"/>
          <w:numId w:val="35"/>
        </w:numPr>
        <w:spacing w:after="0" w:line="240" w:lineRule="auto"/>
        <w:ind w:left="1440" w:right="720" w:hanging="720"/>
        <w:jc w:val="both"/>
      </w:pPr>
      <w:r w:rsidRPr="00EC79EA">
        <w:t>Lead-Acid Batteries.</w:t>
      </w:r>
    </w:p>
    <w:p w14:paraId="1D85C4F1" w14:textId="77777777" w:rsidR="000D3CE5" w:rsidRPr="00EC79EA" w:rsidRDefault="000D3CE5" w:rsidP="00EC79EA"/>
    <w:p w14:paraId="2FE10FD1" w14:textId="77777777" w:rsidR="000D3CE5" w:rsidRPr="00EC79EA" w:rsidRDefault="00FF18C2" w:rsidP="00EC79EA">
      <w:r w:rsidRPr="00EC79EA">
        <w:t xml:space="preserve">CDTSC will work over the next three years to move from the broad categories identified in the </w:t>
      </w:r>
      <w:r w:rsidRPr="00EC79EA">
        <w:lastRenderedPageBreak/>
        <w:t>Work Plan to specific product-chemical combinations that warrant consideration as potential Priority Products.  CDTSC will then engage in a formal rulemaking process to identify specific product-chemical combinations as Priority Products.  Comments were due March 9, 2018.</w:t>
      </w:r>
    </w:p>
    <w:p w14:paraId="68289C97" w14:textId="77777777" w:rsidR="000D3CE5" w:rsidRPr="00EC79EA" w:rsidRDefault="000D3CE5" w:rsidP="00EC79EA"/>
    <w:p w14:paraId="790C3A9F" w14:textId="77777777" w:rsidR="000D3CE5" w:rsidRPr="00EC79EA" w:rsidRDefault="00FF18C2" w:rsidP="00EC79EA">
      <w:pPr>
        <w:rPr>
          <w:b/>
        </w:rPr>
      </w:pPr>
      <w:r w:rsidRPr="00EC79EA">
        <w:rPr>
          <w:b/>
        </w:rPr>
        <w:t xml:space="preserve">Court Approves Settlement </w:t>
      </w:r>
      <w:proofErr w:type="gramStart"/>
      <w:r w:rsidRPr="00EC79EA">
        <w:rPr>
          <w:b/>
        </w:rPr>
        <w:t>With</w:t>
      </w:r>
      <w:proofErr w:type="gramEnd"/>
      <w:r w:rsidRPr="00EC79EA">
        <w:rPr>
          <w:b/>
        </w:rPr>
        <w:t xml:space="preserve"> Chocolate Manufacturers Regarding Lead And Cadmium</w:t>
      </w:r>
    </w:p>
    <w:p w14:paraId="6531E9EF" w14:textId="77777777" w:rsidR="000D3CE5" w:rsidRPr="00EC79EA" w:rsidRDefault="000D3CE5" w:rsidP="00EC79EA"/>
    <w:p w14:paraId="46E85F8C" w14:textId="77777777" w:rsidR="000D3CE5" w:rsidRPr="00EC79EA" w:rsidRDefault="00FF18C2" w:rsidP="00EC79EA">
      <w:r w:rsidRPr="00EC79EA">
        <w:t xml:space="preserve">On February 15, 2018, the California Superior Court approved a settlement resolving claims over whether certain levels of lead and </w:t>
      </w:r>
      <w:r w:rsidRPr="00EC79EA">
        <w:rPr>
          <w:b/>
        </w:rPr>
        <w:t>cadmium</w:t>
      </w:r>
      <w:r w:rsidRPr="00EC79EA">
        <w:t xml:space="preserve"> in chocolate require warnings under Proposition 65.  According to As You Sow’s February 15, 2018, </w:t>
      </w:r>
      <w:hyperlink r:id="rId22" w:history="1">
        <w:r w:rsidRPr="00EC79EA">
          <w:rPr>
            <w:rStyle w:val="Hyperlink"/>
          </w:rPr>
          <w:t>press release</w:t>
        </w:r>
      </w:hyperlink>
      <w:r w:rsidRPr="00EC79EA">
        <w:t xml:space="preserve">, the settlement requires a joint study to investigate and report on the main sources of lead and </w:t>
      </w:r>
      <w:r w:rsidRPr="00EC79EA">
        <w:rPr>
          <w:b/>
        </w:rPr>
        <w:t>cadmium</w:t>
      </w:r>
      <w:r w:rsidRPr="00EC79EA">
        <w:t xml:space="preserve"> in chocolate products.  The press release states that the experts who conduct the study “will also make findings and recommendations on feasible measures that may be taken, if any, to meaningfully reduce levels of lead and </w:t>
      </w:r>
      <w:r w:rsidRPr="00EC79EA">
        <w:rPr>
          <w:b/>
        </w:rPr>
        <w:t>cadmium</w:t>
      </w:r>
      <w:r w:rsidRPr="00EC79EA">
        <w:t xml:space="preserve"> found in chocolate products.”  The experts’ findings will be published in a public report and “are expected to further the dialogue between As You Sow and the chocolate companies.”  The settlement agreement also sets thresholds for determining when Proposition 65 warnings will be required for chocolate products based on their percentage of cacao content and their levels of lead and </w:t>
      </w:r>
      <w:r w:rsidRPr="00EC79EA">
        <w:rPr>
          <w:b/>
        </w:rPr>
        <w:t>cadmium</w:t>
      </w:r>
      <w:r w:rsidRPr="00EC79EA">
        <w:t xml:space="preserve">.  The following companies are part of the settlement:  Barry Callebaut (USA); </w:t>
      </w:r>
      <w:proofErr w:type="spellStart"/>
      <w:r w:rsidRPr="00EC79EA">
        <w:t>Blommer</w:t>
      </w:r>
      <w:proofErr w:type="spellEnd"/>
      <w:r w:rsidRPr="00EC79EA">
        <w:t xml:space="preserve"> Chocolate Co.; Cargill, Inc.; </w:t>
      </w:r>
      <w:proofErr w:type="spellStart"/>
      <w:r w:rsidRPr="00EC79EA">
        <w:t>Guittard</w:t>
      </w:r>
      <w:proofErr w:type="spellEnd"/>
      <w:r w:rsidRPr="00EC79EA">
        <w:t xml:space="preserve"> Chocolate Co.; The Hershey Company; Lindt &amp; </w:t>
      </w:r>
      <w:proofErr w:type="spellStart"/>
      <w:r w:rsidRPr="00EC79EA">
        <w:t>Sprungli</w:t>
      </w:r>
      <w:proofErr w:type="spellEnd"/>
      <w:r w:rsidRPr="00EC79EA">
        <w:t xml:space="preserve"> (North America); Mars Incorporated; Mondelez Global LLC; and Nestle USA, Inc.  The court also authorized an “opt-in” program to allow additional companies that make or offer chocolate products for sale in California to become additional parties to the settlement if they are willing to comply with its terms.</w:t>
      </w:r>
    </w:p>
    <w:p w14:paraId="5BA66303" w14:textId="77777777" w:rsidR="000D3CE5" w:rsidRPr="00EC79EA" w:rsidRDefault="000D3CE5" w:rsidP="00EC79EA"/>
    <w:p w14:paraId="19314C2C" w14:textId="77777777" w:rsidR="000D3CE5" w:rsidRPr="00EC79EA" w:rsidRDefault="00FF18C2" w:rsidP="00EC79EA">
      <w:pPr>
        <w:jc w:val="center"/>
        <w:rPr>
          <w:b/>
          <w:i/>
        </w:rPr>
      </w:pPr>
      <w:r w:rsidRPr="00EC79EA">
        <w:rPr>
          <w:b/>
          <w:i/>
        </w:rPr>
        <w:t>Minnesota</w:t>
      </w:r>
    </w:p>
    <w:p w14:paraId="134404E9" w14:textId="77777777" w:rsidR="000D3CE5" w:rsidRPr="00EC79EA" w:rsidRDefault="000D3CE5" w:rsidP="00EC79EA"/>
    <w:p w14:paraId="337D18B7" w14:textId="77777777" w:rsidR="000D3CE5" w:rsidRPr="00EC79EA" w:rsidRDefault="00FF18C2" w:rsidP="00EC79EA">
      <w:pPr>
        <w:rPr>
          <w:b/>
        </w:rPr>
      </w:pPr>
      <w:r w:rsidRPr="00EC79EA">
        <w:rPr>
          <w:b/>
        </w:rPr>
        <w:t xml:space="preserve">MDH Panel Meeting Includes Update </w:t>
      </w:r>
      <w:proofErr w:type="gramStart"/>
      <w:r w:rsidRPr="00EC79EA">
        <w:rPr>
          <w:b/>
        </w:rPr>
        <w:t>On</w:t>
      </w:r>
      <w:proofErr w:type="gramEnd"/>
      <w:r w:rsidRPr="00EC79EA">
        <w:rPr>
          <w:b/>
        </w:rPr>
        <w:t xml:space="preserve"> MN FEET Project</w:t>
      </w:r>
    </w:p>
    <w:p w14:paraId="6129F58D" w14:textId="77777777" w:rsidR="000D3CE5" w:rsidRPr="00EC79EA" w:rsidRDefault="000D3CE5" w:rsidP="00EC79EA"/>
    <w:p w14:paraId="21BE1098" w14:textId="77777777" w:rsidR="000D3CE5" w:rsidRPr="00EC79EA" w:rsidRDefault="00FF18C2" w:rsidP="00EC79EA">
      <w:r w:rsidRPr="00EC79EA">
        <w:t xml:space="preserve">The MDH Environmental Health Tracking and Biomonitoring Advisory Panel met on February 13, 2018.  According to the </w:t>
      </w:r>
      <w:hyperlink r:id="rId23" w:history="1">
        <w:r w:rsidRPr="00EC79EA">
          <w:rPr>
            <w:rStyle w:val="Hyperlink"/>
          </w:rPr>
          <w:t>background materials</w:t>
        </w:r>
      </w:hyperlink>
      <w:r w:rsidRPr="00EC79EA">
        <w:t xml:space="preserve">, the meeting included an update on the MN FEET Project, which “is measuring mercury, lead and </w:t>
      </w:r>
      <w:r w:rsidRPr="00EC79EA">
        <w:rPr>
          <w:b/>
        </w:rPr>
        <w:t>cadmium</w:t>
      </w:r>
      <w:r w:rsidRPr="00EC79EA">
        <w:t xml:space="preserve"> in Twin Cities pregnant women and their babies.”  The update included information on the following topics:</w:t>
      </w:r>
    </w:p>
    <w:p w14:paraId="138F600D" w14:textId="77777777" w:rsidR="000D3CE5" w:rsidRPr="00EC79EA" w:rsidRDefault="000D3CE5" w:rsidP="00EC79EA"/>
    <w:p w14:paraId="7E649B79" w14:textId="77777777" w:rsidR="000D3CE5" w:rsidRPr="00EC79EA" w:rsidRDefault="00FF18C2" w:rsidP="00EC79EA">
      <w:pPr>
        <w:pStyle w:val="ListParagraph"/>
        <w:numPr>
          <w:ilvl w:val="0"/>
          <w:numId w:val="45"/>
        </w:numPr>
        <w:spacing w:after="0" w:line="240" w:lineRule="auto"/>
        <w:ind w:left="1440" w:right="720" w:hanging="720"/>
        <w:jc w:val="both"/>
      </w:pPr>
      <w:r w:rsidRPr="00EC79EA">
        <w:t xml:space="preserve">Recruitment Status:  Recruitment is complete.  While recruitment through HealthPartners Institute and </w:t>
      </w:r>
      <w:proofErr w:type="spellStart"/>
      <w:r w:rsidRPr="00EC79EA">
        <w:t>SoLaHmo</w:t>
      </w:r>
      <w:proofErr w:type="spellEnd"/>
      <w:r w:rsidRPr="00EC79EA">
        <w:t xml:space="preserve"> ended in </w:t>
      </w:r>
      <w:proofErr w:type="gramStart"/>
      <w:r w:rsidRPr="00EC79EA">
        <w:t>April,</w:t>
      </w:r>
      <w:proofErr w:type="gramEnd"/>
      <w:r w:rsidRPr="00EC79EA">
        <w:t xml:space="preserve"> 2017, community-based recruitment of East African women continued through November 2017.  The recruiters encountered various barriers to recruitment and were not able to recruit the </w:t>
      </w:r>
      <w:proofErr w:type="gramStart"/>
      <w:r w:rsidRPr="00EC79EA">
        <w:t>hoped for</w:t>
      </w:r>
      <w:proofErr w:type="gramEnd"/>
      <w:r w:rsidRPr="00EC79EA">
        <w:t xml:space="preserve"> numbers of women.  The recruiters “did a tremendous amount of community outreach about the chemicals in MN FEET and ways to reduce </w:t>
      </w:r>
      <w:proofErr w:type="gramStart"/>
      <w:r w:rsidRPr="00EC79EA">
        <w:t>exposure, and</w:t>
      </w:r>
      <w:proofErr w:type="gramEnd"/>
      <w:r w:rsidRPr="00EC79EA">
        <w:t xml:space="preserve"> made a number of helpful contacts in the East African community.”</w:t>
      </w:r>
    </w:p>
    <w:p w14:paraId="74AD7F78" w14:textId="77777777" w:rsidR="000D3CE5" w:rsidRPr="00EC79EA" w:rsidRDefault="000D3CE5" w:rsidP="00EC79EA">
      <w:pPr>
        <w:ind w:left="1440" w:right="720" w:hanging="720"/>
      </w:pPr>
    </w:p>
    <w:p w14:paraId="3F000B04" w14:textId="77777777" w:rsidR="000D3CE5" w:rsidRPr="00EC79EA" w:rsidRDefault="00FF18C2" w:rsidP="00EC79EA">
      <w:pPr>
        <w:pStyle w:val="ListParagraph"/>
        <w:keepNext/>
        <w:keepLines/>
        <w:numPr>
          <w:ilvl w:val="0"/>
          <w:numId w:val="45"/>
        </w:numPr>
        <w:spacing w:after="0" w:line="240" w:lineRule="auto"/>
        <w:ind w:left="1440" w:right="720" w:hanging="720"/>
        <w:jc w:val="both"/>
      </w:pPr>
      <w:r w:rsidRPr="00EC79EA">
        <w:lastRenderedPageBreak/>
        <w:t xml:space="preserve">Outreach and Communication of Results:  Staff has begun to share publicly preliminary MN FEET results for Asian, Latina, and White women. So far, this has been done through community members and community organizations. A broader public release of results is planned for </w:t>
      </w:r>
      <w:r w:rsidRPr="00EC79EA">
        <w:rPr>
          <w:b/>
        </w:rPr>
        <w:t>late winter 2018</w:t>
      </w:r>
      <w:r w:rsidRPr="00EC79EA">
        <w:t xml:space="preserve"> when analysis is complete.</w:t>
      </w:r>
    </w:p>
    <w:p w14:paraId="7FB36BFF" w14:textId="77777777" w:rsidR="000D3CE5" w:rsidRPr="00EC79EA" w:rsidRDefault="000D3CE5" w:rsidP="00EC79EA">
      <w:pPr>
        <w:ind w:left="1440" w:right="720" w:hanging="720"/>
      </w:pPr>
    </w:p>
    <w:p w14:paraId="214303C9" w14:textId="77777777" w:rsidR="000D3CE5" w:rsidRPr="00EC79EA" w:rsidRDefault="00FF18C2" w:rsidP="00EC79EA">
      <w:pPr>
        <w:pStyle w:val="ListParagraph"/>
        <w:numPr>
          <w:ilvl w:val="0"/>
          <w:numId w:val="45"/>
        </w:numPr>
        <w:spacing w:after="0" w:line="240" w:lineRule="auto"/>
        <w:ind w:left="1440" w:right="720" w:hanging="720"/>
        <w:jc w:val="both"/>
      </w:pPr>
      <w:r w:rsidRPr="00EC79EA">
        <w:t xml:space="preserve">Data Analysis:  Survey Results and MN FEET Plus:  Efforts are ongoing to analyze responses to the MN FEET survey questions.  Data are being cleaned and univariate and multivariate regression analyses planned.  MN FEET Plus, the sub-study analyzing mercury in newborn blood spots from MN FEET participants, has also entered the data analysis phase. </w:t>
      </w:r>
    </w:p>
    <w:p w14:paraId="22F4EA19" w14:textId="77777777" w:rsidR="000D3CE5" w:rsidRPr="00EC79EA" w:rsidRDefault="000D3CE5" w:rsidP="00EC79EA"/>
    <w:p w14:paraId="28C57DC7" w14:textId="77777777" w:rsidR="000D3CE5" w:rsidRPr="00EC79EA" w:rsidRDefault="00FF18C2" w:rsidP="00EC79EA">
      <w:pPr>
        <w:widowControl/>
        <w:jc w:val="center"/>
        <w:rPr>
          <w:b/>
          <w:i/>
        </w:rPr>
      </w:pPr>
      <w:r w:rsidRPr="00EC79EA">
        <w:rPr>
          <w:b/>
          <w:i/>
        </w:rPr>
        <w:t>New Jersey</w:t>
      </w:r>
    </w:p>
    <w:p w14:paraId="3B76F3B7" w14:textId="77777777" w:rsidR="000D3CE5" w:rsidRPr="00EC79EA" w:rsidRDefault="000D3CE5" w:rsidP="00EC79EA">
      <w:pPr>
        <w:widowControl/>
      </w:pPr>
    </w:p>
    <w:p w14:paraId="5D7084B4" w14:textId="77777777" w:rsidR="000D3CE5" w:rsidRPr="00EC79EA" w:rsidRDefault="00FF18C2" w:rsidP="00EC79EA">
      <w:pPr>
        <w:rPr>
          <w:b/>
        </w:rPr>
      </w:pPr>
      <w:r w:rsidRPr="00EC79EA">
        <w:rPr>
          <w:b/>
        </w:rPr>
        <w:t xml:space="preserve">Bill Would Prohibit Sale </w:t>
      </w:r>
      <w:proofErr w:type="gramStart"/>
      <w:r w:rsidRPr="00EC79EA">
        <w:rPr>
          <w:b/>
        </w:rPr>
        <w:t>Of</w:t>
      </w:r>
      <w:proofErr w:type="gramEnd"/>
      <w:r w:rsidRPr="00EC79EA">
        <w:rPr>
          <w:b/>
        </w:rPr>
        <w:t xml:space="preserve"> Adulterated Candy In New Jersey</w:t>
      </w:r>
    </w:p>
    <w:p w14:paraId="409FC355" w14:textId="77777777" w:rsidR="000D3CE5" w:rsidRPr="00EC79EA" w:rsidRDefault="000D3CE5" w:rsidP="00EC79EA"/>
    <w:p w14:paraId="4C157AD4" w14:textId="77777777" w:rsidR="000D3CE5" w:rsidRPr="00EC79EA" w:rsidRDefault="00FF18C2" w:rsidP="00EC79EA">
      <w:r w:rsidRPr="00EC79EA">
        <w:t xml:space="preserve">On January 29, 2018, A.B. 2179 was introduced.  It would define “adulterated candy” as any candy, either with or without a wrapper, that contains, is composed of, or is made with lead, mercury, or </w:t>
      </w:r>
      <w:r w:rsidRPr="00EC79EA">
        <w:rPr>
          <w:b/>
        </w:rPr>
        <w:t>cadmium</w:t>
      </w:r>
      <w:r w:rsidRPr="00EC79EA">
        <w:t xml:space="preserve"> that has been intentionally introduced as a chemical element during manufacturing or distribution, as opposed to naturally occurring levels of any of those elements.  “Adulterated candy” would also mean any candy with a wrapper that contains, is composed of, or is made with lead, mercury, or </w:t>
      </w:r>
      <w:r w:rsidRPr="00EC79EA">
        <w:rPr>
          <w:b/>
        </w:rPr>
        <w:t>cadmium</w:t>
      </w:r>
      <w:r w:rsidRPr="00EC79EA">
        <w:t>.</w:t>
      </w:r>
    </w:p>
    <w:p w14:paraId="6F1606E2" w14:textId="77777777" w:rsidR="000D3CE5" w:rsidRPr="00EC79EA" w:rsidRDefault="000D3CE5" w:rsidP="00EC79EA"/>
    <w:p w14:paraId="3B12ED36" w14:textId="77777777" w:rsidR="000D3CE5" w:rsidRPr="00EC79EA" w:rsidRDefault="00FF18C2" w:rsidP="00EC79EA">
      <w:pPr>
        <w:tabs>
          <w:tab w:val="left" w:pos="1950"/>
        </w:tabs>
        <w:jc w:val="center"/>
        <w:rPr>
          <w:b/>
          <w:i/>
        </w:rPr>
      </w:pPr>
      <w:r w:rsidRPr="00EC79EA">
        <w:rPr>
          <w:b/>
          <w:i/>
        </w:rPr>
        <w:t>New York</w:t>
      </w:r>
    </w:p>
    <w:p w14:paraId="6022F3AD" w14:textId="77777777" w:rsidR="000D3CE5" w:rsidRPr="00EC79EA" w:rsidRDefault="000D3CE5" w:rsidP="00EC79EA">
      <w:pPr>
        <w:tabs>
          <w:tab w:val="left" w:pos="1950"/>
        </w:tabs>
      </w:pPr>
    </w:p>
    <w:p w14:paraId="37EB237E" w14:textId="77777777" w:rsidR="000D3CE5" w:rsidRPr="00EC79EA" w:rsidRDefault="00FF18C2" w:rsidP="00EC79EA">
      <w:pPr>
        <w:tabs>
          <w:tab w:val="left" w:pos="1950"/>
        </w:tabs>
        <w:rPr>
          <w:b/>
        </w:rPr>
      </w:pPr>
      <w:r w:rsidRPr="00EC79EA">
        <w:rPr>
          <w:b/>
        </w:rPr>
        <w:t xml:space="preserve">Bill Would Create Lists </w:t>
      </w:r>
      <w:proofErr w:type="gramStart"/>
      <w:r w:rsidRPr="00EC79EA">
        <w:rPr>
          <w:b/>
        </w:rPr>
        <w:t>Of</w:t>
      </w:r>
      <w:proofErr w:type="gramEnd"/>
      <w:r w:rsidRPr="00EC79EA">
        <w:rPr>
          <w:b/>
        </w:rPr>
        <w:t xml:space="preserve"> Chemicals Of High Concern And Priority For Pet Products; Cadmium Would Be Included</w:t>
      </w:r>
    </w:p>
    <w:p w14:paraId="52BD64FA" w14:textId="77777777" w:rsidR="000D3CE5" w:rsidRPr="00EC79EA" w:rsidRDefault="000D3CE5" w:rsidP="00EC79EA">
      <w:pPr>
        <w:tabs>
          <w:tab w:val="left" w:pos="1950"/>
        </w:tabs>
      </w:pPr>
    </w:p>
    <w:p w14:paraId="46D79A3F" w14:textId="77777777" w:rsidR="000D3CE5" w:rsidRPr="00EC79EA" w:rsidRDefault="00FF18C2" w:rsidP="00EC79EA">
      <w:pPr>
        <w:tabs>
          <w:tab w:val="left" w:pos="1950"/>
        </w:tabs>
      </w:pPr>
      <w:r w:rsidRPr="00EC79EA">
        <w:t xml:space="preserve">S.B. 7660 was introduced on February 5, 2018.  The bill would amend the environmental conservation law to create a new Title 9 regarding toxic chemicals in pet products.  It would create a list of chemicals of high concern, including </w:t>
      </w:r>
      <w:r w:rsidRPr="00EC79EA">
        <w:rPr>
          <w:b/>
        </w:rPr>
        <w:t>cadmium</w:t>
      </w:r>
      <w:r w:rsidRPr="00EC79EA">
        <w:t xml:space="preserve"> and </w:t>
      </w:r>
      <w:r w:rsidRPr="00EC79EA">
        <w:rPr>
          <w:b/>
        </w:rPr>
        <w:t>cadmium compounds</w:t>
      </w:r>
      <w:r w:rsidRPr="00EC79EA">
        <w:t xml:space="preserve">.  It would also create a list of priority chemicals, which would include </w:t>
      </w:r>
      <w:r w:rsidRPr="00EC79EA">
        <w:rPr>
          <w:b/>
        </w:rPr>
        <w:t>cadmium</w:t>
      </w:r>
      <w:r w:rsidRPr="00EC79EA">
        <w:t xml:space="preserve">.  Under the bill, the lists of chemicals of high concern and priority chemicals would be published within 180 days of the effective date.  Manufacturers would be required to report pet products that contain intentionally added priority chemicals.  Effective </w:t>
      </w:r>
      <w:r w:rsidRPr="00EC79EA">
        <w:rPr>
          <w:b/>
        </w:rPr>
        <w:t>January 1, 2020</w:t>
      </w:r>
      <w:r w:rsidRPr="00EC79EA">
        <w:t xml:space="preserve">, the distribution or sale of pet products containing priority chemicals that have been listed for at least one year would be prohibited.  S.B. 7660 is a companion bill to A.B. </w:t>
      </w:r>
      <w:r w:rsidR="00684171" w:rsidRPr="00EC79EA">
        <w:t>7739</w:t>
      </w:r>
      <w:r w:rsidRPr="00EC79EA">
        <w:t>, which was introduced on May 11, 2017.</w:t>
      </w:r>
    </w:p>
    <w:p w14:paraId="58452B0B" w14:textId="77777777" w:rsidR="000D3CE5" w:rsidRPr="00EC79EA" w:rsidRDefault="000D3CE5" w:rsidP="00EC79EA">
      <w:pPr>
        <w:tabs>
          <w:tab w:val="left" w:pos="1950"/>
        </w:tabs>
      </w:pPr>
    </w:p>
    <w:p w14:paraId="70911BC3" w14:textId="77777777" w:rsidR="000D3CE5" w:rsidRPr="00EC79EA" w:rsidRDefault="00FF18C2" w:rsidP="00EC79EA">
      <w:pPr>
        <w:keepNext/>
        <w:keepLines/>
        <w:widowControl/>
        <w:jc w:val="center"/>
      </w:pPr>
      <w:r w:rsidRPr="00EC79EA">
        <w:rPr>
          <w:b/>
        </w:rPr>
        <w:lastRenderedPageBreak/>
        <w:t>INTERNATIONAL ISSUES</w:t>
      </w:r>
    </w:p>
    <w:p w14:paraId="09E2EEB8" w14:textId="77777777" w:rsidR="000D3CE5" w:rsidRPr="00EC79EA" w:rsidRDefault="000D3CE5" w:rsidP="00EC79EA">
      <w:pPr>
        <w:keepNext/>
        <w:keepLines/>
      </w:pPr>
    </w:p>
    <w:p w14:paraId="61ECCB74" w14:textId="77777777" w:rsidR="000D3CE5" w:rsidRPr="00EC79EA" w:rsidRDefault="00FF18C2" w:rsidP="00EC79EA">
      <w:pPr>
        <w:keepNext/>
        <w:keepLines/>
        <w:widowControl/>
        <w:jc w:val="center"/>
        <w:rPr>
          <w:b/>
        </w:rPr>
      </w:pPr>
      <w:r w:rsidRPr="00EC79EA">
        <w:rPr>
          <w:b/>
        </w:rPr>
        <w:t>CHINA</w:t>
      </w:r>
    </w:p>
    <w:p w14:paraId="54460D56" w14:textId="77777777" w:rsidR="000D3CE5" w:rsidRPr="00EC79EA" w:rsidRDefault="000D3CE5" w:rsidP="00EC79EA">
      <w:pPr>
        <w:keepNext/>
        <w:keepLines/>
        <w:widowControl/>
      </w:pPr>
    </w:p>
    <w:p w14:paraId="1E7A812C" w14:textId="77777777" w:rsidR="000D3CE5" w:rsidRPr="00EC79EA" w:rsidRDefault="00FF18C2" w:rsidP="00EC79EA">
      <w:pPr>
        <w:keepNext/>
        <w:keepLines/>
        <w:widowControl/>
        <w:rPr>
          <w:b/>
        </w:rPr>
      </w:pPr>
      <w:r w:rsidRPr="00EC79EA">
        <w:rPr>
          <w:b/>
        </w:rPr>
        <w:t xml:space="preserve">China Intends </w:t>
      </w:r>
      <w:proofErr w:type="gramStart"/>
      <w:r w:rsidRPr="00EC79EA">
        <w:rPr>
          <w:b/>
        </w:rPr>
        <w:t>To</w:t>
      </w:r>
      <w:proofErr w:type="gramEnd"/>
      <w:r w:rsidRPr="00EC79EA">
        <w:rPr>
          <w:b/>
        </w:rPr>
        <w:t xml:space="preserve"> Reform Organizational Structure Of State Council</w:t>
      </w:r>
    </w:p>
    <w:p w14:paraId="5CBA4229" w14:textId="77777777" w:rsidR="000D3CE5" w:rsidRPr="00EC79EA" w:rsidRDefault="000D3CE5" w:rsidP="00EC79EA">
      <w:pPr>
        <w:keepNext/>
        <w:keepLines/>
        <w:widowControl/>
      </w:pPr>
    </w:p>
    <w:p w14:paraId="7088FC2D" w14:textId="77777777" w:rsidR="000D3CE5" w:rsidRPr="00EC79EA" w:rsidRDefault="00FF18C2" w:rsidP="00EC79EA">
      <w:pPr>
        <w:keepNext/>
        <w:keepLines/>
        <w:widowControl/>
      </w:pPr>
      <w:r w:rsidRPr="00EC79EA">
        <w:t>The central government announced on March 13, 2018, that it intends to reform the organizational structure of the State Council.  Under the reform, the number of state-level ministries and vice-ministerial agencies would be reduced.  The reform would include changes to MEP, SAWS, AQSIQ, SAIC, and CFDA.  MEP would be renamed the Ministry of Ecological Environment and would be more responsible for ecological protection and environmental management of chemical substances in China.  SAWS and the fire service department under the Ministry of Public Security would merge into the Ministry of Emergency Management, a new ministry that is expected to continue to take the lead role in licensing, registration, and storage of hazardous chemical management in China.  SAWS’s responsibility for overseeing occupational health would be transferred to the National Health Commission (previously the Ministry of Health).</w:t>
      </w:r>
    </w:p>
    <w:p w14:paraId="523F5005" w14:textId="77777777" w:rsidR="000D3CE5" w:rsidRPr="00EC79EA" w:rsidRDefault="000D3CE5" w:rsidP="00EC79EA">
      <w:pPr>
        <w:widowControl/>
      </w:pPr>
    </w:p>
    <w:p w14:paraId="61EDAB74" w14:textId="77777777" w:rsidR="000D3CE5" w:rsidRPr="00EC79EA" w:rsidRDefault="00FF18C2" w:rsidP="00EC79EA">
      <w:pPr>
        <w:widowControl/>
        <w:rPr>
          <w:b/>
        </w:rPr>
      </w:pPr>
      <w:r w:rsidRPr="00452D70">
        <w:rPr>
          <w:b/>
          <w:highlight w:val="yellow"/>
        </w:rPr>
        <w:t xml:space="preserve">China Publishes RoHS2 Compliance Management Catalog </w:t>
      </w:r>
      <w:proofErr w:type="gramStart"/>
      <w:r w:rsidRPr="00452D70">
        <w:rPr>
          <w:b/>
          <w:highlight w:val="yellow"/>
        </w:rPr>
        <w:t>And</w:t>
      </w:r>
      <w:proofErr w:type="gramEnd"/>
      <w:r w:rsidRPr="00452D70">
        <w:rPr>
          <w:b/>
          <w:highlight w:val="yellow"/>
        </w:rPr>
        <w:t xml:space="preserve"> Exemption List</w:t>
      </w:r>
    </w:p>
    <w:p w14:paraId="75D76099" w14:textId="77777777" w:rsidR="000D3CE5" w:rsidRPr="00EC79EA" w:rsidRDefault="000D3CE5" w:rsidP="00EC79EA">
      <w:pPr>
        <w:widowControl/>
      </w:pPr>
    </w:p>
    <w:p w14:paraId="62A1B727" w14:textId="77777777" w:rsidR="000D3CE5" w:rsidRPr="00EC79EA" w:rsidRDefault="00FF18C2" w:rsidP="00EC79EA">
      <w:pPr>
        <w:pStyle w:val="NormalWeb"/>
        <w:spacing w:before="0" w:beforeAutospacing="0" w:after="0" w:afterAutospacing="0"/>
        <w:jc w:val="both"/>
        <w:rPr>
          <w:rFonts w:ascii="Times New Roman" w:hAnsi="Times New Roman" w:cs="Times New Roman"/>
        </w:rPr>
      </w:pPr>
      <w:r w:rsidRPr="00EC79EA">
        <w:rPr>
          <w:rFonts w:ascii="Times New Roman" w:hAnsi="Times New Roman" w:cs="Times New Roman"/>
        </w:rPr>
        <w:t xml:space="preserve">MIIT </w:t>
      </w:r>
      <w:hyperlink r:id="rId24" w:history="1">
        <w:r w:rsidRPr="00EC79EA">
          <w:rPr>
            <w:rStyle w:val="Hyperlink"/>
            <w:rFonts w:cs="Times New Roman"/>
          </w:rPr>
          <w:t>published</w:t>
        </w:r>
      </w:hyperlink>
      <w:r w:rsidRPr="00EC79EA">
        <w:rPr>
          <w:rFonts w:ascii="Times New Roman" w:hAnsi="Times New Roman" w:cs="Times New Roman"/>
        </w:rPr>
        <w:t xml:space="preserve"> on March 15, 2018, a </w:t>
      </w:r>
      <w:hyperlink r:id="rId25" w:history="1">
        <w:r w:rsidRPr="00EC79EA">
          <w:rPr>
            <w:rStyle w:val="Hyperlink"/>
            <w:rFonts w:cs="Times New Roman"/>
          </w:rPr>
          <w:t>compliance management catalog</w:t>
        </w:r>
      </w:hyperlink>
      <w:r w:rsidRPr="00EC79EA">
        <w:rPr>
          <w:rFonts w:ascii="Times New Roman" w:hAnsi="Times New Roman" w:cs="Times New Roman"/>
        </w:rPr>
        <w:t xml:space="preserve"> listing electrical and electronic products that must comply with RoHS2, as well as a list of use exemptions.  The documents will enter into force on </w:t>
      </w:r>
      <w:r w:rsidRPr="00EC79EA">
        <w:rPr>
          <w:rFonts w:ascii="Times New Roman" w:hAnsi="Times New Roman" w:cs="Times New Roman"/>
          <w:b/>
        </w:rPr>
        <w:t>March 12, 2019</w:t>
      </w:r>
      <w:r w:rsidRPr="00EC79EA">
        <w:rPr>
          <w:rFonts w:ascii="Times New Roman" w:hAnsi="Times New Roman" w:cs="Times New Roman"/>
        </w:rPr>
        <w:t xml:space="preserve">.  The catalog lists 12 product </w:t>
      </w:r>
      <w:hyperlink r:id="rId26" w:history="1">
        <w:r w:rsidRPr="00EC79EA">
          <w:rPr>
            <w:rStyle w:val="Hyperlink"/>
            <w:rFonts w:cs="Times New Roman"/>
          </w:rPr>
          <w:t>types</w:t>
        </w:r>
      </w:hyperlink>
      <w:r w:rsidRPr="00EC79EA">
        <w:rPr>
          <w:rFonts w:ascii="Times New Roman" w:hAnsi="Times New Roman" w:cs="Times New Roman"/>
        </w:rPr>
        <w:t xml:space="preserve"> that must comply with the hazardous substance restrictions in GB/T26572 2011:</w:t>
      </w:r>
    </w:p>
    <w:p w14:paraId="70FC50D2" w14:textId="77777777" w:rsidR="000D3CE5" w:rsidRPr="00EC79EA" w:rsidRDefault="000D3CE5" w:rsidP="00EC79EA">
      <w:pPr>
        <w:widowControl/>
      </w:pPr>
    </w:p>
    <w:p w14:paraId="1AB57995" w14:textId="77777777" w:rsidR="000D3CE5" w:rsidRPr="00EC79EA" w:rsidRDefault="00FF18C2" w:rsidP="00EC79EA">
      <w:pPr>
        <w:pStyle w:val="ListParagraph"/>
        <w:numPr>
          <w:ilvl w:val="0"/>
          <w:numId w:val="19"/>
        </w:numPr>
        <w:spacing w:after="0" w:line="240" w:lineRule="auto"/>
        <w:ind w:left="1440" w:right="720" w:hanging="720"/>
      </w:pPr>
      <w:r w:rsidRPr="00EC79EA">
        <w:t>Refrigerators;</w:t>
      </w:r>
    </w:p>
    <w:p w14:paraId="3F06152E" w14:textId="77777777" w:rsidR="000D3CE5" w:rsidRPr="00EC79EA" w:rsidRDefault="000D3CE5" w:rsidP="00EC79EA">
      <w:pPr>
        <w:widowControl/>
        <w:ind w:left="1440" w:right="720" w:hanging="720"/>
      </w:pPr>
    </w:p>
    <w:p w14:paraId="67676D8F" w14:textId="77777777" w:rsidR="000D3CE5" w:rsidRPr="00EC79EA" w:rsidRDefault="00FF18C2" w:rsidP="00EC79EA">
      <w:pPr>
        <w:pStyle w:val="ListParagraph"/>
        <w:numPr>
          <w:ilvl w:val="0"/>
          <w:numId w:val="19"/>
        </w:numPr>
        <w:spacing w:after="0" w:line="240" w:lineRule="auto"/>
        <w:ind w:left="1440" w:right="720" w:hanging="720"/>
      </w:pPr>
      <w:r w:rsidRPr="00EC79EA">
        <w:t>Air conditioners;</w:t>
      </w:r>
    </w:p>
    <w:p w14:paraId="05E2FDB7" w14:textId="77777777" w:rsidR="000D3CE5" w:rsidRPr="00EC79EA" w:rsidRDefault="000D3CE5" w:rsidP="00EC79EA">
      <w:pPr>
        <w:widowControl/>
        <w:ind w:left="1440" w:right="720" w:hanging="720"/>
      </w:pPr>
    </w:p>
    <w:p w14:paraId="702C0522" w14:textId="77777777" w:rsidR="000D3CE5" w:rsidRPr="00EC79EA" w:rsidRDefault="00FF18C2" w:rsidP="00EC79EA">
      <w:pPr>
        <w:pStyle w:val="ListParagraph"/>
        <w:numPr>
          <w:ilvl w:val="0"/>
          <w:numId w:val="19"/>
        </w:numPr>
        <w:spacing w:after="0" w:line="240" w:lineRule="auto"/>
        <w:ind w:left="1440" w:right="720" w:hanging="720"/>
      </w:pPr>
      <w:r w:rsidRPr="00EC79EA">
        <w:t>Washing machines;</w:t>
      </w:r>
    </w:p>
    <w:p w14:paraId="63CDD745" w14:textId="77777777" w:rsidR="000D3CE5" w:rsidRPr="00EC79EA" w:rsidRDefault="000D3CE5" w:rsidP="00EC79EA">
      <w:pPr>
        <w:widowControl/>
        <w:ind w:left="1440" w:right="720" w:hanging="720"/>
      </w:pPr>
    </w:p>
    <w:p w14:paraId="6AC85DE3" w14:textId="77777777" w:rsidR="000D3CE5" w:rsidRPr="00EC79EA" w:rsidRDefault="00FF18C2" w:rsidP="00EC79EA">
      <w:pPr>
        <w:pStyle w:val="ListParagraph"/>
        <w:numPr>
          <w:ilvl w:val="0"/>
          <w:numId w:val="19"/>
        </w:numPr>
        <w:spacing w:after="0" w:line="240" w:lineRule="auto"/>
        <w:ind w:left="1440" w:right="720" w:hanging="720"/>
      </w:pPr>
      <w:r w:rsidRPr="00EC79EA">
        <w:t>Electric water heaters;</w:t>
      </w:r>
    </w:p>
    <w:p w14:paraId="23C6B5EB" w14:textId="77777777" w:rsidR="000D3CE5" w:rsidRPr="00EC79EA" w:rsidRDefault="000D3CE5" w:rsidP="00EC79EA">
      <w:pPr>
        <w:widowControl/>
        <w:ind w:left="1440" w:right="720" w:hanging="720"/>
      </w:pPr>
    </w:p>
    <w:p w14:paraId="193DB3F1" w14:textId="77777777" w:rsidR="000D3CE5" w:rsidRPr="00EC79EA" w:rsidRDefault="00FF18C2" w:rsidP="00EC79EA">
      <w:pPr>
        <w:pStyle w:val="ListParagraph"/>
        <w:numPr>
          <w:ilvl w:val="0"/>
          <w:numId w:val="19"/>
        </w:numPr>
        <w:spacing w:after="0" w:line="240" w:lineRule="auto"/>
        <w:ind w:left="1440" w:right="720" w:hanging="720"/>
      </w:pPr>
      <w:r w:rsidRPr="00EC79EA">
        <w:t>Printers;</w:t>
      </w:r>
    </w:p>
    <w:p w14:paraId="6F2CE789" w14:textId="77777777" w:rsidR="000D3CE5" w:rsidRPr="00EC79EA" w:rsidRDefault="000D3CE5" w:rsidP="00EC79EA">
      <w:pPr>
        <w:widowControl/>
        <w:ind w:left="1440" w:right="720" w:hanging="720"/>
      </w:pPr>
    </w:p>
    <w:p w14:paraId="28BB5B72" w14:textId="77777777" w:rsidR="000D3CE5" w:rsidRPr="00EC79EA" w:rsidRDefault="00FF18C2" w:rsidP="00EC79EA">
      <w:pPr>
        <w:pStyle w:val="ListParagraph"/>
        <w:numPr>
          <w:ilvl w:val="0"/>
          <w:numId w:val="19"/>
        </w:numPr>
        <w:spacing w:after="0" w:line="240" w:lineRule="auto"/>
        <w:ind w:left="1440" w:right="720" w:hanging="720"/>
      </w:pPr>
      <w:r w:rsidRPr="00EC79EA">
        <w:t>Photocopiers;</w:t>
      </w:r>
    </w:p>
    <w:p w14:paraId="36AFF4D0" w14:textId="77777777" w:rsidR="000D3CE5" w:rsidRPr="00EC79EA" w:rsidRDefault="000D3CE5" w:rsidP="00EC79EA">
      <w:pPr>
        <w:widowControl/>
        <w:ind w:left="1440" w:right="720" w:hanging="720"/>
      </w:pPr>
    </w:p>
    <w:p w14:paraId="174FA595" w14:textId="77777777" w:rsidR="000D3CE5" w:rsidRPr="00EC79EA" w:rsidRDefault="00FF18C2" w:rsidP="00EC79EA">
      <w:pPr>
        <w:pStyle w:val="ListParagraph"/>
        <w:numPr>
          <w:ilvl w:val="0"/>
          <w:numId w:val="19"/>
        </w:numPr>
        <w:spacing w:after="0" w:line="240" w:lineRule="auto"/>
        <w:ind w:left="1440" w:right="720" w:hanging="720"/>
      </w:pPr>
      <w:r w:rsidRPr="00EC79EA">
        <w:t>Fax machines;</w:t>
      </w:r>
    </w:p>
    <w:p w14:paraId="65900CAF" w14:textId="77777777" w:rsidR="000D3CE5" w:rsidRPr="00EC79EA" w:rsidRDefault="000D3CE5" w:rsidP="00EC79EA">
      <w:pPr>
        <w:widowControl/>
        <w:ind w:left="1440" w:right="720" w:hanging="720"/>
      </w:pPr>
    </w:p>
    <w:p w14:paraId="62438152" w14:textId="77777777" w:rsidR="000D3CE5" w:rsidRPr="00EC79EA" w:rsidRDefault="00FF18C2" w:rsidP="00EC79EA">
      <w:pPr>
        <w:pStyle w:val="ListParagraph"/>
        <w:keepNext/>
        <w:keepLines/>
        <w:numPr>
          <w:ilvl w:val="0"/>
          <w:numId w:val="19"/>
        </w:numPr>
        <w:spacing w:after="0" w:line="240" w:lineRule="auto"/>
        <w:ind w:left="1440" w:right="720" w:hanging="720"/>
      </w:pPr>
      <w:r w:rsidRPr="00EC79EA">
        <w:lastRenderedPageBreak/>
        <w:t>Televisions, including:</w:t>
      </w:r>
    </w:p>
    <w:p w14:paraId="52C50845" w14:textId="77777777" w:rsidR="000D3CE5" w:rsidRPr="00EC79EA" w:rsidRDefault="000D3CE5" w:rsidP="00EC79EA">
      <w:pPr>
        <w:keepNext/>
        <w:keepLines/>
      </w:pPr>
    </w:p>
    <w:p w14:paraId="6BDB24F7" w14:textId="77777777" w:rsidR="000D3CE5" w:rsidRPr="00EC79EA" w:rsidRDefault="00FF18C2" w:rsidP="00EC79EA">
      <w:pPr>
        <w:pStyle w:val="ListParagraph"/>
        <w:keepNext/>
        <w:keepLines/>
        <w:numPr>
          <w:ilvl w:val="0"/>
          <w:numId w:val="38"/>
        </w:numPr>
        <w:spacing w:after="0" w:line="240" w:lineRule="auto"/>
        <w:ind w:left="2160" w:right="1440" w:hanging="720"/>
        <w:jc w:val="both"/>
      </w:pPr>
      <w:r w:rsidRPr="00EC79EA">
        <w:t>Cathode-ray tube (black-and-white, color) televisions;</w:t>
      </w:r>
    </w:p>
    <w:p w14:paraId="51261922" w14:textId="77777777" w:rsidR="000D3CE5" w:rsidRPr="00EC79EA" w:rsidRDefault="000D3CE5" w:rsidP="00EC79EA">
      <w:pPr>
        <w:keepNext/>
        <w:keepLines/>
        <w:ind w:left="2160" w:right="1440" w:hanging="720"/>
      </w:pPr>
    </w:p>
    <w:p w14:paraId="3D9EFB81" w14:textId="77777777" w:rsidR="000D3CE5" w:rsidRPr="00EC79EA" w:rsidRDefault="00FF18C2" w:rsidP="00EC79EA">
      <w:pPr>
        <w:pStyle w:val="ListParagraph"/>
        <w:keepNext/>
        <w:keepLines/>
        <w:numPr>
          <w:ilvl w:val="0"/>
          <w:numId w:val="38"/>
        </w:numPr>
        <w:spacing w:after="0" w:line="240" w:lineRule="auto"/>
        <w:ind w:left="2160" w:right="1440" w:hanging="720"/>
        <w:jc w:val="both"/>
      </w:pPr>
      <w:r w:rsidRPr="00EC79EA">
        <w:t>LCD televisions;</w:t>
      </w:r>
    </w:p>
    <w:p w14:paraId="172348A6" w14:textId="77777777" w:rsidR="000D3CE5" w:rsidRPr="00EC79EA" w:rsidRDefault="000D3CE5" w:rsidP="00EC79EA">
      <w:pPr>
        <w:keepNext/>
        <w:keepLines/>
        <w:ind w:left="2160" w:right="1440" w:hanging="720"/>
      </w:pPr>
    </w:p>
    <w:p w14:paraId="3FA6D867" w14:textId="77777777" w:rsidR="000D3CE5" w:rsidRPr="00EC79EA" w:rsidRDefault="00FF18C2" w:rsidP="00EC79EA">
      <w:pPr>
        <w:pStyle w:val="ListParagraph"/>
        <w:numPr>
          <w:ilvl w:val="0"/>
          <w:numId w:val="38"/>
        </w:numPr>
        <w:spacing w:after="0" w:line="240" w:lineRule="auto"/>
        <w:ind w:left="2160" w:right="1440" w:hanging="720"/>
        <w:jc w:val="both"/>
      </w:pPr>
      <w:proofErr w:type="spellStart"/>
      <w:r w:rsidRPr="00EC79EA">
        <w:t>Oled</w:t>
      </w:r>
      <w:proofErr w:type="spellEnd"/>
      <w:r w:rsidRPr="00EC79EA">
        <w:t xml:space="preserve"> televisions;</w:t>
      </w:r>
    </w:p>
    <w:p w14:paraId="7EC8C7EC" w14:textId="77777777" w:rsidR="000D3CE5" w:rsidRPr="00EC79EA" w:rsidRDefault="000D3CE5" w:rsidP="00EC79EA">
      <w:pPr>
        <w:ind w:left="2160" w:right="1440" w:hanging="720"/>
      </w:pPr>
    </w:p>
    <w:p w14:paraId="77AAA723" w14:textId="77777777" w:rsidR="000D3CE5" w:rsidRPr="00EC79EA" w:rsidRDefault="00FF18C2" w:rsidP="00EC79EA">
      <w:pPr>
        <w:pStyle w:val="ListParagraph"/>
        <w:numPr>
          <w:ilvl w:val="0"/>
          <w:numId w:val="38"/>
        </w:numPr>
        <w:spacing w:after="0" w:line="240" w:lineRule="auto"/>
        <w:ind w:left="2160" w:right="1440" w:hanging="720"/>
        <w:jc w:val="both"/>
      </w:pPr>
      <w:r w:rsidRPr="00EC79EA">
        <w:t>Rear-projection televisions;</w:t>
      </w:r>
    </w:p>
    <w:p w14:paraId="68DAD409" w14:textId="77777777" w:rsidR="000D3CE5" w:rsidRPr="00EC79EA" w:rsidRDefault="000D3CE5" w:rsidP="00EC79EA">
      <w:pPr>
        <w:ind w:left="2160" w:right="1440" w:hanging="720"/>
      </w:pPr>
    </w:p>
    <w:p w14:paraId="2E0553E2" w14:textId="77777777" w:rsidR="000D3CE5" w:rsidRPr="00EC79EA" w:rsidRDefault="00FF18C2" w:rsidP="00EC79EA">
      <w:pPr>
        <w:pStyle w:val="ListParagraph"/>
        <w:numPr>
          <w:ilvl w:val="0"/>
          <w:numId w:val="38"/>
        </w:numPr>
        <w:spacing w:after="0" w:line="240" w:lineRule="auto"/>
        <w:ind w:left="2160" w:right="1440" w:hanging="720"/>
        <w:jc w:val="both"/>
      </w:pPr>
      <w:r w:rsidRPr="00EC79EA">
        <w:t>Mobile television receiving terminals; and</w:t>
      </w:r>
    </w:p>
    <w:p w14:paraId="1D6FCD2F" w14:textId="77777777" w:rsidR="000D3CE5" w:rsidRPr="00EC79EA" w:rsidRDefault="000D3CE5" w:rsidP="00EC79EA">
      <w:pPr>
        <w:ind w:left="2160" w:right="1440" w:hanging="720"/>
      </w:pPr>
    </w:p>
    <w:p w14:paraId="651F53DF" w14:textId="77777777" w:rsidR="000D3CE5" w:rsidRPr="00EC79EA" w:rsidRDefault="00FF18C2" w:rsidP="00EC79EA">
      <w:pPr>
        <w:pStyle w:val="ListParagraph"/>
        <w:numPr>
          <w:ilvl w:val="0"/>
          <w:numId w:val="38"/>
        </w:numPr>
        <w:spacing w:after="0" w:line="240" w:lineRule="auto"/>
        <w:ind w:left="2160" w:right="1440" w:hanging="720"/>
        <w:jc w:val="both"/>
      </w:pPr>
      <w:r w:rsidRPr="00EC79EA">
        <w:t>Other television tuner (high-frequency head) for receiving signals and restoring images and acoustic terminal equipment;</w:t>
      </w:r>
    </w:p>
    <w:p w14:paraId="7DE17D02" w14:textId="77777777" w:rsidR="000D3CE5" w:rsidRPr="00EC79EA" w:rsidRDefault="000D3CE5" w:rsidP="00EC79EA">
      <w:pPr>
        <w:widowControl/>
        <w:ind w:left="1440" w:right="720" w:hanging="720"/>
      </w:pPr>
    </w:p>
    <w:p w14:paraId="4E859E40" w14:textId="77777777" w:rsidR="000D3CE5" w:rsidRPr="00EC79EA" w:rsidRDefault="00FF18C2" w:rsidP="00EC79EA">
      <w:pPr>
        <w:pStyle w:val="ListParagraph"/>
        <w:numPr>
          <w:ilvl w:val="0"/>
          <w:numId w:val="19"/>
        </w:numPr>
        <w:spacing w:after="0" w:line="240" w:lineRule="auto"/>
        <w:ind w:left="1440" w:right="720" w:hanging="720"/>
      </w:pPr>
      <w:r w:rsidRPr="00EC79EA">
        <w:t>Monitors;</w:t>
      </w:r>
    </w:p>
    <w:p w14:paraId="7714E612" w14:textId="77777777" w:rsidR="000D3CE5" w:rsidRPr="00EC79EA" w:rsidRDefault="000D3CE5" w:rsidP="00EC79EA">
      <w:pPr>
        <w:widowControl/>
        <w:ind w:left="1440" w:right="720" w:hanging="720"/>
      </w:pPr>
    </w:p>
    <w:p w14:paraId="77CB4529" w14:textId="77777777" w:rsidR="000D3CE5" w:rsidRPr="00EC79EA" w:rsidRDefault="00FF18C2" w:rsidP="00EC79EA">
      <w:pPr>
        <w:pStyle w:val="ListParagraph"/>
        <w:numPr>
          <w:ilvl w:val="0"/>
          <w:numId w:val="19"/>
        </w:numPr>
        <w:spacing w:after="0" w:line="240" w:lineRule="auto"/>
        <w:ind w:left="1440" w:right="720" w:hanging="720"/>
      </w:pPr>
      <w:r w:rsidRPr="00EC79EA">
        <w:t>Microcomputers;</w:t>
      </w:r>
    </w:p>
    <w:p w14:paraId="4C292337" w14:textId="77777777" w:rsidR="000D3CE5" w:rsidRPr="00EC79EA" w:rsidRDefault="000D3CE5" w:rsidP="00EC79EA">
      <w:pPr>
        <w:widowControl/>
        <w:ind w:left="1440" w:right="720" w:hanging="720"/>
      </w:pPr>
    </w:p>
    <w:p w14:paraId="6138CF6B" w14:textId="77777777" w:rsidR="000D3CE5" w:rsidRPr="00EC79EA" w:rsidRDefault="00FF18C2" w:rsidP="00EC79EA">
      <w:pPr>
        <w:pStyle w:val="ListParagraph"/>
        <w:numPr>
          <w:ilvl w:val="0"/>
          <w:numId w:val="19"/>
        </w:numPr>
        <w:spacing w:after="0" w:line="240" w:lineRule="auto"/>
        <w:ind w:left="1440" w:right="720" w:hanging="720"/>
      </w:pPr>
      <w:r w:rsidRPr="00EC79EA">
        <w:t>Mobile communication devices; and</w:t>
      </w:r>
    </w:p>
    <w:p w14:paraId="5B7A1EED" w14:textId="77777777" w:rsidR="000D3CE5" w:rsidRPr="00EC79EA" w:rsidRDefault="000D3CE5" w:rsidP="00EC79EA">
      <w:pPr>
        <w:widowControl/>
        <w:ind w:left="1440" w:right="720" w:hanging="720"/>
      </w:pPr>
    </w:p>
    <w:p w14:paraId="770148E1" w14:textId="77777777" w:rsidR="000D3CE5" w:rsidRPr="00EC79EA" w:rsidRDefault="00FF18C2" w:rsidP="00EC79EA">
      <w:pPr>
        <w:pStyle w:val="ListParagraph"/>
        <w:numPr>
          <w:ilvl w:val="0"/>
          <w:numId w:val="19"/>
        </w:numPr>
        <w:spacing w:after="0" w:line="240" w:lineRule="auto"/>
        <w:ind w:left="1440" w:right="720" w:hanging="720"/>
      </w:pPr>
      <w:r w:rsidRPr="00EC79EA">
        <w:t>Telephones.</w:t>
      </w:r>
    </w:p>
    <w:p w14:paraId="0755D754" w14:textId="77777777" w:rsidR="000D3CE5" w:rsidRPr="00EC79EA" w:rsidRDefault="000D3CE5" w:rsidP="00EC79EA">
      <w:pPr>
        <w:pStyle w:val="NoSpacing"/>
      </w:pPr>
    </w:p>
    <w:p w14:paraId="03326119" w14:textId="77777777" w:rsidR="000D3CE5" w:rsidRPr="00EC79EA" w:rsidRDefault="00FF18C2" w:rsidP="00EC79EA">
      <w:pPr>
        <w:pStyle w:val="NormalWeb"/>
        <w:spacing w:before="0" w:beforeAutospacing="0" w:after="0" w:afterAutospacing="0"/>
        <w:jc w:val="both"/>
        <w:rPr>
          <w:rFonts w:ascii="Times New Roman" w:hAnsi="Times New Roman" w:cs="Times New Roman"/>
        </w:rPr>
      </w:pPr>
      <w:r w:rsidRPr="00EC79EA">
        <w:rPr>
          <w:rFonts w:ascii="Times New Roman" w:hAnsi="Times New Roman" w:cs="Times New Roman"/>
        </w:rPr>
        <w:t xml:space="preserve">When used as parts of products not listed in the catalog, the above products are out of the scope of RoHS2.  The exemption list contains details of 39 products or component parts that are exempt from the hazardous substance restrictions, and their limits if applicable.  As reported in our January 28, 2016, Update, on January 21, 2016, MIIT announced RoHS2, which entered into force on July 1, 2016.  </w:t>
      </w:r>
      <w:r w:rsidRPr="00452D70">
        <w:rPr>
          <w:rFonts w:ascii="Times New Roman" w:hAnsi="Times New Roman" w:cs="Times New Roman"/>
          <w:highlight w:val="yellow"/>
        </w:rPr>
        <w:t>RoHS2 restricts the following substances in electrical and electronic products:</w:t>
      </w:r>
    </w:p>
    <w:p w14:paraId="3EC3BCAC" w14:textId="77777777" w:rsidR="000D3CE5" w:rsidRPr="00EC79EA" w:rsidRDefault="000D3CE5" w:rsidP="00EC79EA">
      <w:pPr>
        <w:pStyle w:val="NormalWeb"/>
        <w:spacing w:before="0" w:beforeAutospacing="0" w:after="0" w:afterAutospacing="0"/>
        <w:jc w:val="both"/>
        <w:rPr>
          <w:rFonts w:ascii="Times New Roman" w:hAnsi="Times New Roman" w:cs="Times New Roman"/>
        </w:rPr>
      </w:pPr>
    </w:p>
    <w:p w14:paraId="7629DBFD" w14:textId="77777777" w:rsidR="000D3CE5" w:rsidRPr="00EC79EA" w:rsidRDefault="00FF18C2" w:rsidP="00EC79EA">
      <w:pPr>
        <w:pStyle w:val="NormalWeb"/>
        <w:widowControl w:val="0"/>
        <w:numPr>
          <w:ilvl w:val="0"/>
          <w:numId w:val="18"/>
        </w:numPr>
        <w:spacing w:before="0" w:beforeAutospacing="0" w:after="0" w:afterAutospacing="0"/>
        <w:ind w:left="1440" w:right="720" w:hanging="720"/>
        <w:jc w:val="both"/>
        <w:rPr>
          <w:rFonts w:ascii="Times New Roman" w:hAnsi="Times New Roman" w:cs="Times New Roman"/>
        </w:rPr>
      </w:pPr>
      <w:r w:rsidRPr="00452D70">
        <w:rPr>
          <w:rFonts w:ascii="Times New Roman" w:hAnsi="Times New Roman" w:cs="Times New Roman"/>
          <w:b/>
          <w:highlight w:val="yellow"/>
        </w:rPr>
        <w:t xml:space="preserve">Cadmium </w:t>
      </w:r>
      <w:r w:rsidRPr="00452D70">
        <w:rPr>
          <w:rFonts w:ascii="Times New Roman" w:hAnsi="Times New Roman" w:cs="Times New Roman"/>
          <w:highlight w:val="yellow"/>
        </w:rPr>
        <w:t>and</w:t>
      </w:r>
      <w:r w:rsidRPr="00452D70">
        <w:rPr>
          <w:rFonts w:ascii="Times New Roman" w:hAnsi="Times New Roman" w:cs="Times New Roman"/>
          <w:b/>
          <w:highlight w:val="yellow"/>
        </w:rPr>
        <w:t xml:space="preserve"> compounds</w:t>
      </w:r>
      <w:r w:rsidRPr="00452D70">
        <w:rPr>
          <w:rFonts w:ascii="Times New Roman" w:hAnsi="Times New Roman" w:cs="Times New Roman"/>
          <w:highlight w:val="yellow"/>
        </w:rPr>
        <w:t>, 0.01 percent</w:t>
      </w:r>
      <w:r w:rsidRPr="00EC79EA">
        <w:rPr>
          <w:rFonts w:ascii="Times New Roman" w:hAnsi="Times New Roman" w:cs="Times New Roman"/>
        </w:rPr>
        <w:t>;</w:t>
      </w:r>
    </w:p>
    <w:p w14:paraId="3EE97105" w14:textId="77777777" w:rsidR="000D3CE5" w:rsidRPr="00EC79EA" w:rsidRDefault="000D3CE5" w:rsidP="00EC79EA">
      <w:pPr>
        <w:pStyle w:val="NormalWeb"/>
        <w:widowControl w:val="0"/>
        <w:spacing w:before="0" w:beforeAutospacing="0" w:after="0" w:afterAutospacing="0"/>
        <w:ind w:left="1440" w:right="720" w:hanging="720"/>
        <w:jc w:val="both"/>
        <w:rPr>
          <w:rFonts w:ascii="Times New Roman" w:hAnsi="Times New Roman" w:cs="Times New Roman"/>
        </w:rPr>
      </w:pPr>
    </w:p>
    <w:p w14:paraId="1CA1AD40" w14:textId="77777777" w:rsidR="000D3CE5" w:rsidRPr="00EC79EA" w:rsidRDefault="00FF18C2" w:rsidP="00EC79EA">
      <w:pPr>
        <w:pStyle w:val="NormalWeb"/>
        <w:widowControl w:val="0"/>
        <w:numPr>
          <w:ilvl w:val="0"/>
          <w:numId w:val="18"/>
        </w:numPr>
        <w:spacing w:before="0" w:beforeAutospacing="0" w:after="0" w:afterAutospacing="0"/>
        <w:ind w:left="1440" w:right="720" w:hanging="720"/>
        <w:jc w:val="both"/>
        <w:rPr>
          <w:rFonts w:ascii="Times New Roman" w:hAnsi="Times New Roman" w:cs="Times New Roman"/>
        </w:rPr>
      </w:pPr>
      <w:r w:rsidRPr="00EC79EA">
        <w:rPr>
          <w:rFonts w:ascii="Times New Roman" w:hAnsi="Times New Roman" w:cs="Times New Roman"/>
        </w:rPr>
        <w:t>Mercury and compounds, 0.1 percent;</w:t>
      </w:r>
    </w:p>
    <w:p w14:paraId="01804154" w14:textId="77777777" w:rsidR="000D3CE5" w:rsidRPr="00EC79EA" w:rsidRDefault="000D3CE5" w:rsidP="00EC79EA">
      <w:pPr>
        <w:pStyle w:val="NormalWeb"/>
        <w:widowControl w:val="0"/>
        <w:spacing w:before="0" w:beforeAutospacing="0" w:after="0" w:afterAutospacing="0"/>
        <w:ind w:left="1440" w:right="720" w:hanging="720"/>
        <w:jc w:val="both"/>
        <w:rPr>
          <w:rFonts w:ascii="Times New Roman" w:hAnsi="Times New Roman" w:cs="Times New Roman"/>
        </w:rPr>
      </w:pPr>
    </w:p>
    <w:p w14:paraId="3056D529" w14:textId="77777777" w:rsidR="000D3CE5" w:rsidRPr="00EC79EA" w:rsidRDefault="00FF18C2" w:rsidP="00EC79EA">
      <w:pPr>
        <w:pStyle w:val="NormalWeb"/>
        <w:widowControl w:val="0"/>
        <w:numPr>
          <w:ilvl w:val="0"/>
          <w:numId w:val="18"/>
        </w:numPr>
        <w:spacing w:before="0" w:beforeAutospacing="0" w:after="0" w:afterAutospacing="0"/>
        <w:ind w:left="1440" w:right="720" w:hanging="720"/>
        <w:jc w:val="both"/>
        <w:rPr>
          <w:rFonts w:ascii="Times New Roman" w:hAnsi="Times New Roman" w:cs="Times New Roman"/>
        </w:rPr>
      </w:pPr>
      <w:r w:rsidRPr="00EC79EA">
        <w:rPr>
          <w:rFonts w:ascii="Times New Roman" w:hAnsi="Times New Roman" w:cs="Times New Roman"/>
        </w:rPr>
        <w:t>Lead and compounds, 0.1 percent;</w:t>
      </w:r>
    </w:p>
    <w:p w14:paraId="0E3C4EBB" w14:textId="77777777" w:rsidR="000D3CE5" w:rsidRPr="00EC79EA" w:rsidRDefault="000D3CE5" w:rsidP="00EC79EA">
      <w:pPr>
        <w:pStyle w:val="NormalWeb"/>
        <w:widowControl w:val="0"/>
        <w:spacing w:before="0" w:beforeAutospacing="0" w:after="0" w:afterAutospacing="0"/>
        <w:ind w:left="1440" w:right="720" w:hanging="720"/>
        <w:jc w:val="both"/>
        <w:rPr>
          <w:rFonts w:ascii="Times New Roman" w:hAnsi="Times New Roman" w:cs="Times New Roman"/>
        </w:rPr>
      </w:pPr>
    </w:p>
    <w:p w14:paraId="3AA509D4" w14:textId="77777777" w:rsidR="000D3CE5" w:rsidRPr="00EC79EA" w:rsidRDefault="00FF18C2" w:rsidP="00EC79EA">
      <w:pPr>
        <w:pStyle w:val="NormalWeb"/>
        <w:widowControl w:val="0"/>
        <w:numPr>
          <w:ilvl w:val="0"/>
          <w:numId w:val="18"/>
        </w:numPr>
        <w:spacing w:before="0" w:beforeAutospacing="0" w:after="0" w:afterAutospacing="0"/>
        <w:ind w:left="1440" w:right="720" w:hanging="720"/>
        <w:jc w:val="both"/>
        <w:rPr>
          <w:rFonts w:ascii="Times New Roman" w:hAnsi="Times New Roman" w:cs="Times New Roman"/>
        </w:rPr>
      </w:pPr>
      <w:r w:rsidRPr="00EC79EA">
        <w:rPr>
          <w:rFonts w:ascii="Times New Roman" w:hAnsi="Times New Roman" w:cs="Times New Roman"/>
        </w:rPr>
        <w:t>Hexavalent chromium and compounds, 0.1 percent;</w:t>
      </w:r>
    </w:p>
    <w:p w14:paraId="6876DA73" w14:textId="77777777" w:rsidR="000D3CE5" w:rsidRPr="00EC79EA" w:rsidRDefault="000D3CE5" w:rsidP="00EC79EA">
      <w:pPr>
        <w:pStyle w:val="NormalWeb"/>
        <w:widowControl w:val="0"/>
        <w:spacing w:before="0" w:beforeAutospacing="0" w:after="0" w:afterAutospacing="0"/>
        <w:ind w:left="1440" w:right="720" w:hanging="720"/>
        <w:jc w:val="both"/>
        <w:rPr>
          <w:rFonts w:ascii="Times New Roman" w:hAnsi="Times New Roman" w:cs="Times New Roman"/>
        </w:rPr>
      </w:pPr>
    </w:p>
    <w:p w14:paraId="32A75A6D" w14:textId="77777777" w:rsidR="000D3CE5" w:rsidRPr="00EC79EA" w:rsidRDefault="00FF18C2" w:rsidP="00EC79EA">
      <w:pPr>
        <w:pStyle w:val="NormalWeb"/>
        <w:widowControl w:val="0"/>
        <w:numPr>
          <w:ilvl w:val="0"/>
          <w:numId w:val="18"/>
        </w:numPr>
        <w:spacing w:before="0" w:beforeAutospacing="0" w:after="0" w:afterAutospacing="0"/>
        <w:ind w:left="1440" w:right="720" w:hanging="720"/>
        <w:jc w:val="both"/>
        <w:rPr>
          <w:rFonts w:ascii="Times New Roman" w:hAnsi="Times New Roman" w:cs="Times New Roman"/>
        </w:rPr>
      </w:pPr>
      <w:r w:rsidRPr="00EC79EA">
        <w:rPr>
          <w:rFonts w:ascii="Times New Roman" w:hAnsi="Times New Roman" w:cs="Times New Roman"/>
        </w:rPr>
        <w:t>PBBs, 0.1 percent; and</w:t>
      </w:r>
    </w:p>
    <w:p w14:paraId="5944C99C" w14:textId="77777777" w:rsidR="000D3CE5" w:rsidRPr="00EC79EA" w:rsidRDefault="000D3CE5" w:rsidP="00EC79EA">
      <w:pPr>
        <w:pStyle w:val="NormalWeb"/>
        <w:widowControl w:val="0"/>
        <w:spacing w:before="0" w:beforeAutospacing="0" w:after="0" w:afterAutospacing="0"/>
        <w:ind w:left="1440" w:right="720" w:hanging="720"/>
        <w:jc w:val="both"/>
        <w:rPr>
          <w:rFonts w:ascii="Times New Roman" w:hAnsi="Times New Roman" w:cs="Times New Roman"/>
        </w:rPr>
      </w:pPr>
    </w:p>
    <w:p w14:paraId="3EF7407C" w14:textId="77777777" w:rsidR="000D3CE5" w:rsidRPr="00EC79EA" w:rsidRDefault="00FF18C2" w:rsidP="00EC79EA">
      <w:pPr>
        <w:pStyle w:val="NormalWeb"/>
        <w:keepNext/>
        <w:keepLines/>
        <w:widowControl w:val="0"/>
        <w:numPr>
          <w:ilvl w:val="0"/>
          <w:numId w:val="18"/>
        </w:numPr>
        <w:spacing w:before="0" w:beforeAutospacing="0" w:after="0" w:afterAutospacing="0"/>
        <w:ind w:left="1440" w:right="720" w:hanging="720"/>
        <w:jc w:val="both"/>
        <w:rPr>
          <w:rFonts w:ascii="Times New Roman" w:hAnsi="Times New Roman" w:cs="Times New Roman"/>
        </w:rPr>
      </w:pPr>
      <w:r w:rsidRPr="00EC79EA">
        <w:rPr>
          <w:rFonts w:ascii="Times New Roman" w:hAnsi="Times New Roman" w:cs="Times New Roman"/>
        </w:rPr>
        <w:lastRenderedPageBreak/>
        <w:t>PBDEs, 0.1 percent.</w:t>
      </w:r>
    </w:p>
    <w:p w14:paraId="2E71B495" w14:textId="77777777" w:rsidR="000D3CE5" w:rsidRPr="00EC79EA" w:rsidRDefault="000D3CE5" w:rsidP="00EC79EA">
      <w:pPr>
        <w:keepNext/>
        <w:keepLines/>
        <w:widowControl/>
      </w:pPr>
    </w:p>
    <w:p w14:paraId="5B29824E" w14:textId="77777777" w:rsidR="000D3CE5" w:rsidRPr="00EC79EA" w:rsidRDefault="00FF18C2" w:rsidP="00EC79EA">
      <w:pPr>
        <w:widowControl/>
        <w:jc w:val="center"/>
        <w:rPr>
          <w:b/>
        </w:rPr>
      </w:pPr>
      <w:r w:rsidRPr="00EC79EA">
        <w:rPr>
          <w:b/>
        </w:rPr>
        <w:t>EEU</w:t>
      </w:r>
    </w:p>
    <w:p w14:paraId="6278E3CB" w14:textId="77777777" w:rsidR="000D3CE5" w:rsidRPr="00EC79EA" w:rsidRDefault="000D3CE5" w:rsidP="00EC79EA">
      <w:pPr>
        <w:widowControl/>
      </w:pPr>
    </w:p>
    <w:p w14:paraId="52C7CD71" w14:textId="77777777" w:rsidR="000D3CE5" w:rsidRPr="00EC79EA" w:rsidRDefault="00FF18C2" w:rsidP="00EC79EA">
      <w:pPr>
        <w:widowControl/>
        <w:rPr>
          <w:b/>
        </w:rPr>
      </w:pPr>
      <w:r w:rsidRPr="00452D70">
        <w:rPr>
          <w:b/>
          <w:highlight w:val="yellow"/>
        </w:rPr>
        <w:t xml:space="preserve">EEU Regulation Aligned </w:t>
      </w:r>
      <w:proofErr w:type="gramStart"/>
      <w:r w:rsidRPr="00452D70">
        <w:rPr>
          <w:b/>
          <w:highlight w:val="yellow"/>
        </w:rPr>
        <w:t>With</w:t>
      </w:r>
      <w:proofErr w:type="gramEnd"/>
      <w:r w:rsidRPr="00452D70">
        <w:rPr>
          <w:b/>
          <w:highlight w:val="yellow"/>
        </w:rPr>
        <w:t xml:space="preserve"> EU RoHS Takes Effect</w:t>
      </w:r>
    </w:p>
    <w:p w14:paraId="56215B11" w14:textId="77777777" w:rsidR="000D3CE5" w:rsidRPr="00EC79EA" w:rsidRDefault="000D3CE5" w:rsidP="00EC79EA">
      <w:pPr>
        <w:widowControl/>
      </w:pPr>
    </w:p>
    <w:p w14:paraId="58AF6E0C" w14:textId="77777777" w:rsidR="000D3CE5" w:rsidRPr="00EC79EA" w:rsidRDefault="00FF18C2" w:rsidP="00EC79EA">
      <w:pPr>
        <w:widowControl/>
      </w:pPr>
      <w:r w:rsidRPr="00EC79EA">
        <w:t>On March 1, 2018, a final EEU regulation on the restriction of the use of hazardous substances in electrical and electronic equipment took effect.  The final regulation, which is aligned with the EU RoHS Directive, applies to the EEU Member States:  Armenia, Belarus, Kazakhstan, Kyrgyzstan, and Russia.  The restricted substances, and their maximum concentration values tolerated by weight in homogeneous materials, are:</w:t>
      </w:r>
    </w:p>
    <w:p w14:paraId="5D1D9827" w14:textId="77777777" w:rsidR="000D3CE5" w:rsidRPr="00EC79EA" w:rsidRDefault="000D3CE5" w:rsidP="00EC79EA">
      <w:pPr>
        <w:widowControl/>
      </w:pPr>
    </w:p>
    <w:p w14:paraId="5362E92F" w14:textId="77777777" w:rsidR="000D3CE5" w:rsidRPr="00EC79EA" w:rsidRDefault="00FF18C2" w:rsidP="00EC79EA">
      <w:pPr>
        <w:pStyle w:val="ListParagraph"/>
        <w:numPr>
          <w:ilvl w:val="0"/>
          <w:numId w:val="39"/>
        </w:numPr>
        <w:spacing w:after="0" w:line="240" w:lineRule="auto"/>
        <w:ind w:left="1440" w:hanging="720"/>
      </w:pPr>
      <w:r w:rsidRPr="00EC79EA">
        <w:t>Lead (0.1 percent);</w:t>
      </w:r>
    </w:p>
    <w:p w14:paraId="149881D3" w14:textId="77777777" w:rsidR="000D3CE5" w:rsidRPr="00EC79EA" w:rsidRDefault="000D3CE5" w:rsidP="00EC79EA">
      <w:pPr>
        <w:widowControl/>
        <w:ind w:left="1440" w:hanging="720"/>
      </w:pPr>
    </w:p>
    <w:p w14:paraId="39B935A6" w14:textId="77777777" w:rsidR="000D3CE5" w:rsidRPr="00EC79EA" w:rsidRDefault="00FF18C2" w:rsidP="00EC79EA">
      <w:pPr>
        <w:pStyle w:val="ListParagraph"/>
        <w:numPr>
          <w:ilvl w:val="0"/>
          <w:numId w:val="39"/>
        </w:numPr>
        <w:spacing w:after="0" w:line="240" w:lineRule="auto"/>
        <w:ind w:left="1440" w:hanging="720"/>
      </w:pPr>
      <w:r w:rsidRPr="00EC79EA">
        <w:t>Mercury (0.1 percent);</w:t>
      </w:r>
    </w:p>
    <w:p w14:paraId="114BEB69" w14:textId="77777777" w:rsidR="000D3CE5" w:rsidRPr="00EC79EA" w:rsidRDefault="000D3CE5" w:rsidP="00EC79EA">
      <w:pPr>
        <w:widowControl/>
        <w:ind w:left="1440" w:hanging="720"/>
      </w:pPr>
    </w:p>
    <w:p w14:paraId="2892E746" w14:textId="77777777" w:rsidR="000D3CE5" w:rsidRPr="00452D70" w:rsidRDefault="00FF18C2" w:rsidP="00EC79EA">
      <w:pPr>
        <w:pStyle w:val="ListParagraph"/>
        <w:numPr>
          <w:ilvl w:val="0"/>
          <w:numId w:val="39"/>
        </w:numPr>
        <w:spacing w:after="0" w:line="240" w:lineRule="auto"/>
        <w:ind w:left="1440" w:hanging="720"/>
        <w:rPr>
          <w:highlight w:val="yellow"/>
        </w:rPr>
      </w:pPr>
      <w:r w:rsidRPr="00452D70">
        <w:rPr>
          <w:b/>
          <w:highlight w:val="yellow"/>
        </w:rPr>
        <w:t>Cadmium</w:t>
      </w:r>
      <w:r w:rsidRPr="00452D70">
        <w:rPr>
          <w:highlight w:val="yellow"/>
        </w:rPr>
        <w:t xml:space="preserve"> (0.01 percent);</w:t>
      </w:r>
    </w:p>
    <w:p w14:paraId="26BF30E3" w14:textId="77777777" w:rsidR="000D3CE5" w:rsidRPr="00EC79EA" w:rsidRDefault="000D3CE5" w:rsidP="00EC79EA">
      <w:pPr>
        <w:widowControl/>
        <w:ind w:left="1440" w:hanging="720"/>
      </w:pPr>
    </w:p>
    <w:p w14:paraId="0FC340BF" w14:textId="77777777" w:rsidR="000D3CE5" w:rsidRPr="00EC79EA" w:rsidRDefault="00FF18C2" w:rsidP="00EC79EA">
      <w:pPr>
        <w:pStyle w:val="ListParagraph"/>
        <w:numPr>
          <w:ilvl w:val="0"/>
          <w:numId w:val="39"/>
        </w:numPr>
        <w:spacing w:after="0" w:line="240" w:lineRule="auto"/>
        <w:ind w:left="1440" w:hanging="720"/>
      </w:pPr>
      <w:r w:rsidRPr="00EC79EA">
        <w:t>Hexavalent chromium (0.1 percent);</w:t>
      </w:r>
    </w:p>
    <w:p w14:paraId="50978F6A" w14:textId="77777777" w:rsidR="000D3CE5" w:rsidRPr="00EC79EA" w:rsidRDefault="000D3CE5" w:rsidP="00EC79EA">
      <w:pPr>
        <w:widowControl/>
        <w:ind w:left="1440" w:hanging="720"/>
      </w:pPr>
    </w:p>
    <w:p w14:paraId="6165BFE7" w14:textId="77777777" w:rsidR="000D3CE5" w:rsidRPr="00EC79EA" w:rsidRDefault="00FF18C2" w:rsidP="00EC79EA">
      <w:pPr>
        <w:pStyle w:val="ListParagraph"/>
        <w:numPr>
          <w:ilvl w:val="0"/>
          <w:numId w:val="39"/>
        </w:numPr>
        <w:spacing w:after="0" w:line="240" w:lineRule="auto"/>
        <w:ind w:left="1440" w:hanging="720"/>
      </w:pPr>
      <w:r w:rsidRPr="00EC79EA">
        <w:t>PBBs (0.1 percent); and</w:t>
      </w:r>
    </w:p>
    <w:p w14:paraId="177FFE6D" w14:textId="77777777" w:rsidR="000D3CE5" w:rsidRPr="00EC79EA" w:rsidRDefault="000D3CE5" w:rsidP="00EC79EA">
      <w:pPr>
        <w:widowControl/>
        <w:ind w:left="1440" w:hanging="720"/>
      </w:pPr>
    </w:p>
    <w:p w14:paraId="24505897" w14:textId="77777777" w:rsidR="000D3CE5" w:rsidRPr="00EC79EA" w:rsidRDefault="00FF18C2" w:rsidP="00EC79EA">
      <w:pPr>
        <w:pStyle w:val="ListParagraph"/>
        <w:numPr>
          <w:ilvl w:val="0"/>
          <w:numId w:val="39"/>
        </w:numPr>
        <w:spacing w:after="0" w:line="240" w:lineRule="auto"/>
        <w:ind w:left="1440" w:hanging="720"/>
      </w:pPr>
      <w:r w:rsidRPr="00EC79EA">
        <w:t>PBDEs (0.1 percent).</w:t>
      </w:r>
    </w:p>
    <w:p w14:paraId="39636D27" w14:textId="77777777" w:rsidR="000D3CE5" w:rsidRPr="00EC79EA" w:rsidRDefault="000D3CE5" w:rsidP="00EC79EA">
      <w:pPr>
        <w:widowControl/>
      </w:pPr>
    </w:p>
    <w:p w14:paraId="365F31E8" w14:textId="77777777" w:rsidR="000D3CE5" w:rsidRPr="00EC79EA" w:rsidRDefault="00FF18C2" w:rsidP="00EC79EA">
      <w:pPr>
        <w:widowControl/>
      </w:pPr>
      <w:r w:rsidRPr="00EC79EA">
        <w:t xml:space="preserve">The final regulation applies to products, including: domestic appliances, IT equipment, telecommunications equipment, lighting equipment, electrical tools, leisure and sports equipment, and vending machines.  </w:t>
      </w:r>
      <w:r w:rsidRPr="00452D70">
        <w:rPr>
          <w:highlight w:val="yellow"/>
        </w:rPr>
        <w:t>Excluded items include electric toys, solar panel and photovoltaic installations, products designed for use in land-based and orbiting space objects, medical devices, and electric batteries.</w:t>
      </w:r>
      <w:r w:rsidRPr="00EC79EA">
        <w:t xml:space="preserve">  The final regulation outlines conditions for compliance, labeling, and operation in the Customs Union market.  EEU Member States have until </w:t>
      </w:r>
      <w:r w:rsidRPr="00EC79EA">
        <w:rPr>
          <w:b/>
        </w:rPr>
        <w:t>March 1, 2020</w:t>
      </w:r>
      <w:r w:rsidRPr="00EC79EA">
        <w:t>, to comply.</w:t>
      </w:r>
    </w:p>
    <w:p w14:paraId="7D0A68B8" w14:textId="77777777" w:rsidR="000D3CE5" w:rsidRPr="00EC79EA" w:rsidRDefault="000D3CE5" w:rsidP="00EC79EA">
      <w:pPr>
        <w:widowControl/>
      </w:pPr>
    </w:p>
    <w:p w14:paraId="13605A13" w14:textId="77777777" w:rsidR="000D3CE5" w:rsidRPr="00EC79EA" w:rsidRDefault="00FF18C2" w:rsidP="00EC79EA">
      <w:pPr>
        <w:widowControl/>
        <w:jc w:val="center"/>
        <w:rPr>
          <w:b/>
        </w:rPr>
      </w:pPr>
      <w:r w:rsidRPr="00EC79EA">
        <w:rPr>
          <w:b/>
        </w:rPr>
        <w:t>SOUTH KOREA</w:t>
      </w:r>
    </w:p>
    <w:p w14:paraId="726C4EDC" w14:textId="77777777" w:rsidR="000D3CE5" w:rsidRPr="00EC79EA" w:rsidRDefault="000D3CE5" w:rsidP="00EC79EA">
      <w:pPr>
        <w:widowControl/>
      </w:pPr>
    </w:p>
    <w:p w14:paraId="401A4475" w14:textId="77777777" w:rsidR="000D3CE5" w:rsidRPr="00EC79EA" w:rsidRDefault="00FF18C2" w:rsidP="00EC79EA">
      <w:pPr>
        <w:rPr>
          <w:b/>
        </w:rPr>
      </w:pPr>
      <w:r w:rsidRPr="00EC79EA">
        <w:rPr>
          <w:b/>
        </w:rPr>
        <w:t xml:space="preserve">MOEL Holds Public Consultation </w:t>
      </w:r>
      <w:proofErr w:type="gramStart"/>
      <w:r w:rsidRPr="00EC79EA">
        <w:rPr>
          <w:b/>
        </w:rPr>
        <w:t>On</w:t>
      </w:r>
      <w:proofErr w:type="gramEnd"/>
      <w:r w:rsidRPr="00EC79EA">
        <w:rPr>
          <w:b/>
        </w:rPr>
        <w:t xml:space="preserve"> Proposed OSH Act Amendments</w:t>
      </w:r>
    </w:p>
    <w:p w14:paraId="4AC12421" w14:textId="77777777" w:rsidR="000D3CE5" w:rsidRPr="00EC79EA" w:rsidRDefault="00FF18C2" w:rsidP="00EC79EA">
      <w:pPr>
        <w:widowControl/>
      </w:pPr>
      <w:r w:rsidRPr="00EC79EA">
        <w:cr/>
        <w:t xml:space="preserve">MOEL recently held a public consultation on </w:t>
      </w:r>
      <w:hyperlink r:id="rId27" w:history="1">
        <w:r w:rsidRPr="00EC79EA">
          <w:rPr>
            <w:rStyle w:val="Hyperlink"/>
          </w:rPr>
          <w:t>proposed OSH Act amendments</w:t>
        </w:r>
      </w:hyperlink>
      <w:r w:rsidRPr="00EC79EA">
        <w:t xml:space="preserve">.  Under the amendments, manufacturers and importers of GHS hazardous substances, or products containing them, would be required to submit the relevant SDSs to MOEL.  Companies whose notices contain CBI will need to apply for a three-year confidentiality agreement.  To extend the confidentiality agreement, companies would have to reapply.  The proposed amendments would increase the penalties for violations; give business owners responsibility for the health and safety plan; and </w:t>
      </w:r>
      <w:r w:rsidRPr="00EC79EA">
        <w:lastRenderedPageBreak/>
        <w:t>tighten rules on subcontracting.  The proposed amendments were prompted by a rise in the number of hazardous substances used in manufacturing.  MOEL will provide worker health and safety information from the submitted SDSs to relevant parties.  Comments were due March 21, 2018.</w:t>
      </w:r>
    </w:p>
    <w:p w14:paraId="6E93E7D8" w14:textId="77777777" w:rsidR="000D3CE5" w:rsidRPr="00EC79EA" w:rsidRDefault="000D3CE5" w:rsidP="00EC79EA">
      <w:pPr>
        <w:widowControl/>
      </w:pPr>
    </w:p>
    <w:p w14:paraId="3B322BDA" w14:textId="77777777" w:rsidR="000D3CE5" w:rsidRPr="00EC79EA" w:rsidRDefault="00FF18C2" w:rsidP="00EC79EA">
      <w:r w:rsidRPr="00452D70">
        <w:rPr>
          <w:b/>
          <w:highlight w:val="yellow"/>
        </w:rPr>
        <w:t>K-REACH Amendments Will Be Enforced January 2019</w:t>
      </w:r>
    </w:p>
    <w:p w14:paraId="0EC910B5" w14:textId="77777777" w:rsidR="000D3CE5" w:rsidRPr="00EC79EA" w:rsidRDefault="000D3CE5" w:rsidP="00EC79EA"/>
    <w:p w14:paraId="5292A04E" w14:textId="77777777" w:rsidR="000D3CE5" w:rsidRPr="00EC79EA" w:rsidRDefault="00FF18C2" w:rsidP="00EC79EA">
      <w:r w:rsidRPr="00EC79EA">
        <w:t xml:space="preserve">MOE </w:t>
      </w:r>
      <w:hyperlink r:id="rId28" w:history="1">
        <w:r w:rsidRPr="00EC79EA">
          <w:rPr>
            <w:rStyle w:val="Hyperlink"/>
          </w:rPr>
          <w:t>announced</w:t>
        </w:r>
      </w:hyperlink>
      <w:r w:rsidRPr="00EC79EA">
        <w:t xml:space="preserve"> on March 14, 2018, that amendments to K-REACH would be promulgated on March 20, 2018, and be enforced beginning </w:t>
      </w:r>
      <w:r w:rsidRPr="00EC79EA">
        <w:rPr>
          <w:b/>
        </w:rPr>
        <w:t>January 1, 2019</w:t>
      </w:r>
      <w:r w:rsidRPr="00EC79EA">
        <w:t xml:space="preserve">.  As initially enacted, K-REACH would have designated PECs in three batches for registration.  MOE announced the </w:t>
      </w:r>
      <w:hyperlink r:id="rId29" w:history="1">
        <w:r w:rsidRPr="00EC79EA">
          <w:rPr>
            <w:rStyle w:val="Hyperlink"/>
          </w:rPr>
          <w:t>first batch of PECs</w:t>
        </w:r>
      </w:hyperlink>
      <w:r w:rsidRPr="00EC79EA">
        <w:t xml:space="preserve"> on July 1, 2015, and PECs imported above one ton per year must be registered by </w:t>
      </w:r>
      <w:r w:rsidRPr="00EC79EA">
        <w:rPr>
          <w:b/>
        </w:rPr>
        <w:t>June 30, 2018</w:t>
      </w:r>
      <w:r w:rsidRPr="00EC79EA">
        <w:t>.  This registration deadline is unchanged by the amendments.  The amendments will apply a phase-in registration mechanism for the remaining existing chemical substances manufactured or imported in volumes greater than or equal to one ton per year, however.  The amendments include the following registration deadlines, based on hazard and tonnage band:</w:t>
      </w:r>
    </w:p>
    <w:p w14:paraId="5E1CC526" w14:textId="77777777" w:rsidR="000D3CE5" w:rsidRPr="00EC79EA" w:rsidRDefault="000D3CE5" w:rsidP="00EC79EA"/>
    <w:p w14:paraId="10C42377" w14:textId="77777777" w:rsidR="000D3CE5" w:rsidRPr="00EC79EA" w:rsidRDefault="000D3CE5" w:rsidP="00EC79EA"/>
    <w:p w14:paraId="4F914BD8" w14:textId="77777777" w:rsidR="000D3CE5" w:rsidRPr="00452D70" w:rsidRDefault="00FF18C2" w:rsidP="00452D70">
      <w:pPr>
        <w:pStyle w:val="ListParagraph"/>
        <w:numPr>
          <w:ilvl w:val="0"/>
          <w:numId w:val="36"/>
        </w:numPr>
        <w:tabs>
          <w:tab w:val="left" w:pos="1843"/>
        </w:tabs>
        <w:spacing w:after="0" w:line="240" w:lineRule="auto"/>
        <w:ind w:left="1440" w:right="720" w:hanging="720"/>
        <w:contextualSpacing/>
        <w:jc w:val="both"/>
        <w:rPr>
          <w:highlight w:val="yellow"/>
        </w:rPr>
      </w:pPr>
      <w:r w:rsidRPr="00452D70">
        <w:rPr>
          <w:b/>
          <w:highlight w:val="yellow"/>
        </w:rPr>
        <w:t>2018</w:t>
      </w:r>
      <w:r w:rsidRPr="00EC79EA">
        <w:t xml:space="preserve">:  510 PECs, </w:t>
      </w:r>
      <w:r w:rsidRPr="00452D70">
        <w:rPr>
          <w:highlight w:val="yellow"/>
        </w:rPr>
        <w:t xml:space="preserve">including </w:t>
      </w:r>
      <w:r w:rsidRPr="00452D70">
        <w:rPr>
          <w:b/>
          <w:highlight w:val="yellow"/>
        </w:rPr>
        <w:t>cadmium</w:t>
      </w:r>
      <w:r w:rsidRPr="00452D70">
        <w:rPr>
          <w:highlight w:val="yellow"/>
        </w:rPr>
        <w:t xml:space="preserve"> and </w:t>
      </w:r>
      <w:proofErr w:type="gramStart"/>
      <w:r w:rsidRPr="00452D70">
        <w:rPr>
          <w:highlight w:val="yellow"/>
        </w:rPr>
        <w:t>a number of</w:t>
      </w:r>
      <w:proofErr w:type="gramEnd"/>
      <w:r w:rsidRPr="00452D70">
        <w:rPr>
          <w:highlight w:val="yellow"/>
        </w:rPr>
        <w:t xml:space="preserve"> </w:t>
      </w:r>
      <w:r w:rsidRPr="00452D70">
        <w:rPr>
          <w:b/>
          <w:highlight w:val="yellow"/>
        </w:rPr>
        <w:t>cadmium compounds</w:t>
      </w:r>
      <w:r w:rsidRPr="00452D70">
        <w:rPr>
          <w:highlight w:val="yellow"/>
        </w:rPr>
        <w:t>;</w:t>
      </w:r>
    </w:p>
    <w:p w14:paraId="14177F7A" w14:textId="77777777" w:rsidR="000D3CE5" w:rsidRPr="00EC79EA" w:rsidRDefault="000D3CE5" w:rsidP="00EC79EA">
      <w:pPr>
        <w:ind w:left="1440" w:right="720" w:hanging="720"/>
      </w:pPr>
    </w:p>
    <w:p w14:paraId="64823546" w14:textId="77777777" w:rsidR="000D3CE5" w:rsidRPr="00EC79EA" w:rsidRDefault="00FF18C2" w:rsidP="00EC79EA">
      <w:pPr>
        <w:pStyle w:val="ListParagraph"/>
        <w:numPr>
          <w:ilvl w:val="0"/>
          <w:numId w:val="36"/>
        </w:numPr>
        <w:spacing w:after="0" w:line="240" w:lineRule="auto"/>
        <w:ind w:left="1440" w:right="720" w:hanging="720"/>
        <w:contextualSpacing/>
        <w:jc w:val="both"/>
      </w:pPr>
      <w:r w:rsidRPr="00EC79EA">
        <w:rPr>
          <w:b/>
        </w:rPr>
        <w:t>2021</w:t>
      </w:r>
      <w:r w:rsidRPr="00EC79EA">
        <w:t xml:space="preserve">:  </w:t>
      </w:r>
      <w:r w:rsidRPr="00EC79EA">
        <w:rPr>
          <w:lang w:eastAsia="zh-CN"/>
        </w:rPr>
        <w:t>Registration deadline for all substances used in volumes of over 1,000 tons per year and CMR substances used in volumes of one ton or more per year</w:t>
      </w:r>
      <w:r w:rsidRPr="00EC79EA">
        <w:t>;</w:t>
      </w:r>
    </w:p>
    <w:p w14:paraId="7242A2FB" w14:textId="77777777" w:rsidR="000D3CE5" w:rsidRPr="00EC79EA" w:rsidRDefault="000D3CE5" w:rsidP="00EC79EA">
      <w:pPr>
        <w:ind w:left="1440" w:right="720" w:hanging="720"/>
      </w:pPr>
    </w:p>
    <w:p w14:paraId="01736E40" w14:textId="77777777" w:rsidR="000D3CE5" w:rsidRPr="00EC79EA" w:rsidRDefault="00FF18C2" w:rsidP="00EC79EA">
      <w:pPr>
        <w:pStyle w:val="ListParagraph"/>
        <w:numPr>
          <w:ilvl w:val="0"/>
          <w:numId w:val="36"/>
        </w:numPr>
        <w:spacing w:after="0" w:line="240" w:lineRule="auto"/>
        <w:ind w:left="1440" w:right="720" w:hanging="720"/>
        <w:contextualSpacing/>
        <w:jc w:val="both"/>
      </w:pPr>
      <w:r w:rsidRPr="00EC79EA">
        <w:rPr>
          <w:b/>
        </w:rPr>
        <w:t>2024</w:t>
      </w:r>
      <w:r w:rsidRPr="00EC79EA">
        <w:t xml:space="preserve">:  </w:t>
      </w:r>
      <w:r w:rsidRPr="00EC79EA">
        <w:rPr>
          <w:lang w:eastAsia="zh-CN"/>
        </w:rPr>
        <w:t>Registration deadline for substances used in volumes of 100 to 1,000 tons per year</w:t>
      </w:r>
      <w:r w:rsidRPr="00EC79EA">
        <w:t>;</w:t>
      </w:r>
    </w:p>
    <w:p w14:paraId="4459327D" w14:textId="77777777" w:rsidR="000D3CE5" w:rsidRPr="00EC79EA" w:rsidRDefault="000D3CE5" w:rsidP="00EC79EA">
      <w:pPr>
        <w:ind w:left="1440" w:right="720" w:hanging="720"/>
      </w:pPr>
    </w:p>
    <w:p w14:paraId="2CF2C9D1" w14:textId="77777777" w:rsidR="000D3CE5" w:rsidRPr="00EC79EA" w:rsidRDefault="00FF18C2" w:rsidP="00EC79EA">
      <w:pPr>
        <w:pStyle w:val="ListParagraph"/>
        <w:numPr>
          <w:ilvl w:val="0"/>
          <w:numId w:val="36"/>
        </w:numPr>
        <w:spacing w:after="0" w:line="240" w:lineRule="auto"/>
        <w:ind w:left="1440" w:right="720" w:hanging="720"/>
        <w:contextualSpacing/>
        <w:jc w:val="both"/>
      </w:pPr>
      <w:r w:rsidRPr="00EC79EA">
        <w:rPr>
          <w:b/>
        </w:rPr>
        <w:t>2027</w:t>
      </w:r>
      <w:r w:rsidRPr="00EC79EA">
        <w:t xml:space="preserve">:  </w:t>
      </w:r>
      <w:r w:rsidRPr="00EC79EA">
        <w:rPr>
          <w:lang w:eastAsia="zh-CN"/>
        </w:rPr>
        <w:t xml:space="preserve">Registration deadline for substances used in volumes of ten to 100 tons per year; </w:t>
      </w:r>
      <w:r w:rsidRPr="00EC79EA">
        <w:t>and</w:t>
      </w:r>
    </w:p>
    <w:p w14:paraId="79352526" w14:textId="77777777" w:rsidR="000D3CE5" w:rsidRPr="00EC79EA" w:rsidRDefault="000D3CE5" w:rsidP="00EC79EA">
      <w:pPr>
        <w:ind w:left="1440" w:right="720" w:hanging="720"/>
      </w:pPr>
    </w:p>
    <w:p w14:paraId="06DF14ED" w14:textId="77777777" w:rsidR="000D3CE5" w:rsidRPr="00EC79EA" w:rsidRDefault="00FF18C2" w:rsidP="00EC79EA">
      <w:pPr>
        <w:pStyle w:val="ListParagraph"/>
        <w:numPr>
          <w:ilvl w:val="0"/>
          <w:numId w:val="36"/>
        </w:numPr>
        <w:spacing w:after="0" w:line="240" w:lineRule="auto"/>
        <w:ind w:left="1440" w:right="720" w:hanging="720"/>
        <w:contextualSpacing/>
        <w:jc w:val="both"/>
      </w:pPr>
      <w:r w:rsidRPr="00EC79EA">
        <w:rPr>
          <w:b/>
        </w:rPr>
        <w:t>2030</w:t>
      </w:r>
      <w:r w:rsidRPr="00EC79EA">
        <w:t xml:space="preserve">:  </w:t>
      </w:r>
      <w:r w:rsidRPr="00EC79EA">
        <w:rPr>
          <w:lang w:eastAsia="zh-CN"/>
        </w:rPr>
        <w:t>Registration deadline for substances used in volumes of one to ten tons per year</w:t>
      </w:r>
      <w:r w:rsidRPr="00EC79EA">
        <w:t>.</w:t>
      </w:r>
    </w:p>
    <w:p w14:paraId="37326DCA" w14:textId="77777777" w:rsidR="000D3CE5" w:rsidRPr="00EC79EA" w:rsidRDefault="000D3CE5" w:rsidP="00EC79EA"/>
    <w:p w14:paraId="24AA9FDF" w14:textId="77777777" w:rsidR="000D3CE5" w:rsidRPr="00EC79EA" w:rsidRDefault="00FF18C2" w:rsidP="00EC79EA">
      <w:r w:rsidRPr="00EC79EA">
        <w:t xml:space="preserve">A draft version of enforcement rules for the amended K-REACH is expected in </w:t>
      </w:r>
      <w:r w:rsidRPr="00EC79EA">
        <w:rPr>
          <w:b/>
        </w:rPr>
        <w:t>April 2018</w:t>
      </w:r>
      <w:r w:rsidRPr="00EC79EA">
        <w:t xml:space="preserve">.  The </w:t>
      </w:r>
      <w:r w:rsidRPr="00EC79EA">
        <w:rPr>
          <w:b/>
        </w:rPr>
        <w:t>June 30, 2018</w:t>
      </w:r>
      <w:r w:rsidRPr="00EC79EA">
        <w:t xml:space="preserve">, registration deadline for the 510 PECs, including </w:t>
      </w:r>
      <w:r w:rsidRPr="00EC79EA">
        <w:rPr>
          <w:b/>
        </w:rPr>
        <w:t>cadmium</w:t>
      </w:r>
      <w:r w:rsidRPr="00EC79EA">
        <w:t xml:space="preserve"> and </w:t>
      </w:r>
      <w:proofErr w:type="gramStart"/>
      <w:r w:rsidRPr="00EC79EA">
        <w:t>a number of</w:t>
      </w:r>
      <w:proofErr w:type="gramEnd"/>
      <w:r w:rsidRPr="00EC79EA">
        <w:t xml:space="preserve"> </w:t>
      </w:r>
      <w:r w:rsidRPr="00EC79EA">
        <w:rPr>
          <w:b/>
        </w:rPr>
        <w:t>cadmium compounds</w:t>
      </w:r>
      <w:r w:rsidRPr="00EC79EA">
        <w:t>, is unchanged.  More information regarding the amendments is available in B&amp;C’s March 16, 2018, memorandum, “</w:t>
      </w:r>
      <w:hyperlink r:id="rId30" w:history="1">
        <w:r w:rsidRPr="00EC79EA">
          <w:rPr>
            <w:rStyle w:val="Hyperlink"/>
          </w:rPr>
          <w:t>K-REACH Amendments Expected to Be Promulgated Shortly and Be Enforced January 2019</w:t>
        </w:r>
      </w:hyperlink>
      <w:r w:rsidRPr="00EC79EA">
        <w:t>.”</w:t>
      </w:r>
    </w:p>
    <w:p w14:paraId="40C3FE69" w14:textId="77777777" w:rsidR="000D3CE5" w:rsidRPr="00EC79EA" w:rsidRDefault="000D3CE5" w:rsidP="00EC79EA">
      <w:pPr>
        <w:pStyle w:val="Heading3"/>
        <w:keepNext w:val="0"/>
        <w:keepLines w:val="0"/>
        <w:spacing w:before="0"/>
        <w:rPr>
          <w:rStyle w:val="Strong"/>
          <w:rFonts w:ascii="Times New Roman" w:eastAsia="Times New Roman" w:hAnsi="Times New Roman" w:cs="Times New Roman"/>
          <w:color w:val="auto"/>
        </w:rPr>
      </w:pPr>
    </w:p>
    <w:p w14:paraId="3A03D82A" w14:textId="77777777" w:rsidR="000D3CE5" w:rsidRPr="00EC79EA" w:rsidRDefault="00FF18C2" w:rsidP="00EC79EA">
      <w:pPr>
        <w:keepNext/>
        <w:keepLines/>
        <w:widowControl/>
        <w:jc w:val="center"/>
        <w:rPr>
          <w:b/>
        </w:rPr>
      </w:pPr>
      <w:r w:rsidRPr="00EC79EA">
        <w:rPr>
          <w:b/>
        </w:rPr>
        <w:lastRenderedPageBreak/>
        <w:t>TAIWAN</w:t>
      </w:r>
    </w:p>
    <w:p w14:paraId="40888AD1" w14:textId="77777777" w:rsidR="000D3CE5" w:rsidRPr="00EC79EA" w:rsidRDefault="000D3CE5" w:rsidP="00EC79EA">
      <w:pPr>
        <w:keepNext/>
        <w:keepLines/>
        <w:widowControl/>
      </w:pPr>
    </w:p>
    <w:p w14:paraId="5142394F" w14:textId="77777777" w:rsidR="000D3CE5" w:rsidRPr="00EC79EA" w:rsidRDefault="00FF18C2" w:rsidP="00EC79EA">
      <w:pPr>
        <w:keepNext/>
        <w:keepLines/>
        <w:widowControl/>
        <w:rPr>
          <w:b/>
        </w:rPr>
      </w:pPr>
      <w:r w:rsidRPr="00C1727E">
        <w:rPr>
          <w:b/>
          <w:highlight w:val="yellow"/>
        </w:rPr>
        <w:t xml:space="preserve">BSMI Amends Inspection Standard </w:t>
      </w:r>
      <w:proofErr w:type="gramStart"/>
      <w:r w:rsidRPr="00C1727E">
        <w:rPr>
          <w:b/>
          <w:highlight w:val="yellow"/>
        </w:rPr>
        <w:t>For</w:t>
      </w:r>
      <w:proofErr w:type="gramEnd"/>
      <w:r w:rsidRPr="00C1727E">
        <w:rPr>
          <w:b/>
          <w:highlight w:val="yellow"/>
        </w:rPr>
        <w:t xml:space="preserve"> Paints, Sets Maximum Level For Cadmium</w:t>
      </w:r>
    </w:p>
    <w:p w14:paraId="749D6D2E" w14:textId="77777777" w:rsidR="000D3CE5" w:rsidRPr="00EC79EA" w:rsidRDefault="000D3CE5" w:rsidP="00EC79EA">
      <w:pPr>
        <w:keepNext/>
        <w:keepLines/>
        <w:widowControl/>
      </w:pPr>
    </w:p>
    <w:p w14:paraId="5672639D" w14:textId="77777777" w:rsidR="000D3CE5" w:rsidRPr="00EC79EA" w:rsidRDefault="00FF18C2" w:rsidP="00EC79EA">
      <w:pPr>
        <w:keepNext/>
        <w:keepLines/>
        <w:widowControl/>
      </w:pPr>
      <w:r w:rsidRPr="00EC79EA">
        <w:t xml:space="preserve">On February 6, 2018, BSMI </w:t>
      </w:r>
      <w:hyperlink r:id="rId31" w:history="1">
        <w:r w:rsidRPr="00EC79EA">
          <w:rPr>
            <w:rStyle w:val="Hyperlink"/>
          </w:rPr>
          <w:t>amended</w:t>
        </w:r>
      </w:hyperlink>
      <w:r w:rsidRPr="00EC79EA">
        <w:t xml:space="preserve"> the inspection standard for paints to require testing for formaldehyde emissions and heavy metal content.  The amendment adopts the 2016 revisions of the CNS national standards that apply to the following types of paint:</w:t>
      </w:r>
    </w:p>
    <w:p w14:paraId="7D645912" w14:textId="77777777" w:rsidR="000D3CE5" w:rsidRPr="00EC79EA" w:rsidRDefault="000D3CE5" w:rsidP="00EC79EA"/>
    <w:p w14:paraId="0DB9FBFB" w14:textId="77777777" w:rsidR="000D3CE5" w:rsidRPr="00EC79EA" w:rsidRDefault="00FF18C2" w:rsidP="00EC79EA">
      <w:pPr>
        <w:pStyle w:val="ListParagraph"/>
        <w:numPr>
          <w:ilvl w:val="0"/>
          <w:numId w:val="40"/>
        </w:numPr>
        <w:spacing w:after="0" w:line="240" w:lineRule="auto"/>
        <w:ind w:left="1440" w:right="720" w:hanging="720"/>
        <w:jc w:val="both"/>
      </w:pPr>
      <w:r w:rsidRPr="00EC79EA">
        <w:t>Ready mixed paint (synthetic resin type) -- CNS601 (updated August 29, 2016);</w:t>
      </w:r>
    </w:p>
    <w:p w14:paraId="33048A27" w14:textId="77777777" w:rsidR="000D3CE5" w:rsidRPr="00EC79EA" w:rsidRDefault="000D3CE5" w:rsidP="00EC79EA">
      <w:pPr>
        <w:ind w:left="1440" w:right="720" w:hanging="720"/>
      </w:pPr>
    </w:p>
    <w:p w14:paraId="5034B5F6" w14:textId="77777777" w:rsidR="000D3CE5" w:rsidRPr="00EC79EA" w:rsidRDefault="00FF18C2" w:rsidP="00EC79EA">
      <w:pPr>
        <w:pStyle w:val="ListParagraph"/>
        <w:numPr>
          <w:ilvl w:val="0"/>
          <w:numId w:val="40"/>
        </w:numPr>
        <w:spacing w:after="0" w:line="240" w:lineRule="auto"/>
        <w:ind w:left="1440" w:right="720" w:hanging="720"/>
        <w:jc w:val="both"/>
      </w:pPr>
      <w:r w:rsidRPr="00EC79EA">
        <w:t>Enamel paint -- CNS606 (August 29, 2016);</w:t>
      </w:r>
    </w:p>
    <w:p w14:paraId="11357643" w14:textId="77777777" w:rsidR="000D3CE5" w:rsidRPr="00EC79EA" w:rsidRDefault="000D3CE5" w:rsidP="00EC79EA">
      <w:pPr>
        <w:ind w:left="1440" w:right="720" w:hanging="720"/>
      </w:pPr>
    </w:p>
    <w:p w14:paraId="4B069E4A" w14:textId="77777777" w:rsidR="000D3CE5" w:rsidRPr="00EC79EA" w:rsidRDefault="00FF18C2" w:rsidP="00EC79EA">
      <w:pPr>
        <w:pStyle w:val="ListParagraph"/>
        <w:numPr>
          <w:ilvl w:val="0"/>
          <w:numId w:val="40"/>
        </w:numPr>
        <w:spacing w:after="0" w:line="240" w:lineRule="auto"/>
        <w:ind w:left="1440" w:right="720" w:hanging="720"/>
        <w:jc w:val="both"/>
      </w:pPr>
      <w:r w:rsidRPr="00EC79EA">
        <w:t>Emulsion paint -- CNS4940 (June 14, 2016);</w:t>
      </w:r>
    </w:p>
    <w:p w14:paraId="57F34E54" w14:textId="77777777" w:rsidR="000D3CE5" w:rsidRPr="00EC79EA" w:rsidRDefault="000D3CE5" w:rsidP="00EC79EA">
      <w:pPr>
        <w:ind w:left="1440" w:right="720" w:hanging="720"/>
      </w:pPr>
    </w:p>
    <w:p w14:paraId="2C10D75D" w14:textId="77777777" w:rsidR="000D3CE5" w:rsidRPr="00EC79EA" w:rsidRDefault="00FF18C2" w:rsidP="00EC79EA">
      <w:pPr>
        <w:pStyle w:val="ListParagraph"/>
        <w:numPr>
          <w:ilvl w:val="0"/>
          <w:numId w:val="40"/>
        </w:numPr>
        <w:spacing w:after="0" w:line="240" w:lineRule="auto"/>
        <w:ind w:left="1440" w:right="720" w:hanging="720"/>
        <w:jc w:val="both"/>
      </w:pPr>
      <w:r w:rsidRPr="00EC79EA">
        <w:t>Solvent-based masonry paints -- CNS8144 (August 29, 2016); and</w:t>
      </w:r>
    </w:p>
    <w:p w14:paraId="1D22E560" w14:textId="77777777" w:rsidR="000D3CE5" w:rsidRPr="00EC79EA" w:rsidRDefault="000D3CE5" w:rsidP="00EC79EA">
      <w:pPr>
        <w:ind w:left="1440" w:right="720" w:hanging="720"/>
      </w:pPr>
    </w:p>
    <w:p w14:paraId="5EC65E81" w14:textId="77777777" w:rsidR="000D3CE5" w:rsidRPr="00EC79EA" w:rsidRDefault="00FF18C2" w:rsidP="00EC79EA">
      <w:pPr>
        <w:pStyle w:val="ListParagraph"/>
        <w:numPr>
          <w:ilvl w:val="0"/>
          <w:numId w:val="40"/>
        </w:numPr>
        <w:spacing w:after="0" w:line="240" w:lineRule="auto"/>
        <w:ind w:left="1440" w:right="720" w:hanging="720"/>
        <w:jc w:val="both"/>
      </w:pPr>
      <w:r w:rsidRPr="00EC79EA">
        <w:t>Fire-retardant paints -- CNS11728 (August 29, 2016).</w:t>
      </w:r>
    </w:p>
    <w:p w14:paraId="7B245167" w14:textId="77777777" w:rsidR="000D3CE5" w:rsidRPr="00EC79EA" w:rsidRDefault="000D3CE5" w:rsidP="00EC79EA">
      <w:pPr>
        <w:ind w:left="1440" w:right="720" w:hanging="720"/>
      </w:pPr>
    </w:p>
    <w:p w14:paraId="3B53D4C1" w14:textId="77777777" w:rsidR="000D3CE5" w:rsidRPr="00EC79EA" w:rsidRDefault="00FF18C2" w:rsidP="00EC79EA">
      <w:r w:rsidRPr="00EC79EA">
        <w:t>Product labels must list the levels of formaldehyde emissions and heavy metal content, as well as VOC levels.  The maximum levels permitted follow CNS15931 -- General safety requirements for paints -- revised on August 29, 2016:</w:t>
      </w:r>
    </w:p>
    <w:p w14:paraId="1A15BF2A" w14:textId="77777777" w:rsidR="000D3CE5" w:rsidRPr="00EC79EA" w:rsidRDefault="000D3CE5" w:rsidP="00EC79EA"/>
    <w:p w14:paraId="4F5379EF" w14:textId="77777777" w:rsidR="000D3CE5" w:rsidRPr="00EC79EA" w:rsidRDefault="00FF18C2" w:rsidP="00EC79EA">
      <w:pPr>
        <w:pStyle w:val="ListParagraph"/>
        <w:numPr>
          <w:ilvl w:val="0"/>
          <w:numId w:val="41"/>
        </w:numPr>
        <w:spacing w:after="0" w:line="240" w:lineRule="auto"/>
        <w:ind w:left="1440" w:right="720" w:hanging="720"/>
        <w:jc w:val="both"/>
      </w:pPr>
      <w:r w:rsidRPr="00EC79EA">
        <w:t>Formaldehyde emissions -- 0.12 mg/l (indoor use) and 1.8 mg/l (outdoor use);</w:t>
      </w:r>
    </w:p>
    <w:p w14:paraId="5079B132" w14:textId="77777777" w:rsidR="000D3CE5" w:rsidRPr="00EC79EA" w:rsidRDefault="000D3CE5" w:rsidP="00EC79EA">
      <w:pPr>
        <w:ind w:left="1440" w:right="720" w:hanging="720"/>
      </w:pPr>
    </w:p>
    <w:p w14:paraId="678FB02A" w14:textId="77777777" w:rsidR="000D3CE5" w:rsidRPr="00EC79EA" w:rsidRDefault="00FF18C2" w:rsidP="00EC79EA">
      <w:pPr>
        <w:pStyle w:val="ListParagraph"/>
        <w:numPr>
          <w:ilvl w:val="0"/>
          <w:numId w:val="41"/>
        </w:numPr>
        <w:spacing w:after="0" w:line="240" w:lineRule="auto"/>
        <w:ind w:left="1440" w:right="720" w:hanging="720"/>
        <w:jc w:val="both"/>
      </w:pPr>
      <w:r w:rsidRPr="00EC79EA">
        <w:t>Lead content -- 90 mg/kg (indoors) and 600 mg/kg (indoor use);</w:t>
      </w:r>
    </w:p>
    <w:p w14:paraId="0E6635C5" w14:textId="77777777" w:rsidR="000D3CE5" w:rsidRPr="00EC79EA" w:rsidRDefault="000D3CE5" w:rsidP="00EC79EA">
      <w:pPr>
        <w:ind w:left="1440" w:right="720" w:hanging="720"/>
      </w:pPr>
    </w:p>
    <w:p w14:paraId="0229795F" w14:textId="77777777" w:rsidR="000D3CE5" w:rsidRPr="00EC79EA" w:rsidRDefault="00FF18C2" w:rsidP="00EC79EA">
      <w:pPr>
        <w:pStyle w:val="ListParagraph"/>
        <w:numPr>
          <w:ilvl w:val="0"/>
          <w:numId w:val="41"/>
        </w:numPr>
        <w:spacing w:after="0" w:line="240" w:lineRule="auto"/>
        <w:ind w:left="1440" w:right="720" w:hanging="720"/>
        <w:jc w:val="both"/>
      </w:pPr>
      <w:r w:rsidRPr="00452D70">
        <w:rPr>
          <w:b/>
          <w:highlight w:val="yellow"/>
        </w:rPr>
        <w:t>Cadmium</w:t>
      </w:r>
      <w:r w:rsidRPr="00452D70">
        <w:rPr>
          <w:highlight w:val="yellow"/>
        </w:rPr>
        <w:t xml:space="preserve"> -- 75 mg/kg and 100 mg/kg</w:t>
      </w:r>
      <w:r w:rsidRPr="00EC79EA">
        <w:t xml:space="preserve"> (indoor use);</w:t>
      </w:r>
    </w:p>
    <w:p w14:paraId="0C21EAD6" w14:textId="77777777" w:rsidR="000D3CE5" w:rsidRPr="00EC79EA" w:rsidRDefault="000D3CE5" w:rsidP="00EC79EA">
      <w:pPr>
        <w:ind w:left="1440" w:right="720" w:hanging="720"/>
      </w:pPr>
    </w:p>
    <w:p w14:paraId="0C3AC580" w14:textId="77777777" w:rsidR="000D3CE5" w:rsidRPr="00EC79EA" w:rsidRDefault="00FF18C2" w:rsidP="00EC79EA">
      <w:pPr>
        <w:pStyle w:val="ListParagraph"/>
        <w:numPr>
          <w:ilvl w:val="0"/>
          <w:numId w:val="41"/>
        </w:numPr>
        <w:spacing w:after="0" w:line="240" w:lineRule="auto"/>
        <w:ind w:left="1440" w:right="720" w:hanging="720"/>
        <w:jc w:val="both"/>
      </w:pPr>
      <w:r w:rsidRPr="00EC79EA">
        <w:t>Mercury -- 60 mg/kg and 100 mg/kg (indoor use); and</w:t>
      </w:r>
    </w:p>
    <w:p w14:paraId="45B77AFC" w14:textId="77777777" w:rsidR="000D3CE5" w:rsidRPr="00EC79EA" w:rsidRDefault="000D3CE5" w:rsidP="00EC79EA">
      <w:pPr>
        <w:ind w:left="1440" w:right="720" w:hanging="720"/>
      </w:pPr>
    </w:p>
    <w:p w14:paraId="2AF5E8AC" w14:textId="77777777" w:rsidR="000D3CE5" w:rsidRPr="00EC79EA" w:rsidRDefault="00FF18C2" w:rsidP="00EC79EA">
      <w:pPr>
        <w:pStyle w:val="ListParagraph"/>
        <w:numPr>
          <w:ilvl w:val="0"/>
          <w:numId w:val="41"/>
        </w:numPr>
        <w:spacing w:after="0" w:line="240" w:lineRule="auto"/>
        <w:ind w:left="1440" w:right="720" w:hanging="720"/>
        <w:jc w:val="both"/>
      </w:pPr>
      <w:r w:rsidRPr="00EC79EA">
        <w:t>Chromium -- 60 mg/kg and 300 mg/kg (indoor use).</w:t>
      </w:r>
    </w:p>
    <w:p w14:paraId="36EBDA3D" w14:textId="77777777" w:rsidR="000D3CE5" w:rsidRPr="00EC79EA" w:rsidRDefault="000D3CE5" w:rsidP="00EC79EA"/>
    <w:p w14:paraId="11202224" w14:textId="77777777" w:rsidR="000D3CE5" w:rsidRPr="00EC79EA" w:rsidRDefault="00FF18C2" w:rsidP="00EC79EA">
      <w:r w:rsidRPr="00EC79EA">
        <w:t xml:space="preserve">BSMI has indicated that it will revise the standard again in </w:t>
      </w:r>
      <w:r w:rsidRPr="00EC79EA">
        <w:rPr>
          <w:b/>
        </w:rPr>
        <w:t>2019</w:t>
      </w:r>
      <w:r w:rsidRPr="00EC79EA">
        <w:t>.</w:t>
      </w:r>
    </w:p>
    <w:p w14:paraId="18CA799A" w14:textId="77777777" w:rsidR="000D3CE5" w:rsidRPr="00EC79EA" w:rsidRDefault="000D3CE5" w:rsidP="00EC79EA"/>
    <w:p w14:paraId="2AA7B71A" w14:textId="77777777" w:rsidR="000D3CE5" w:rsidRPr="00EC79EA" w:rsidRDefault="00FF18C2" w:rsidP="00EC79EA">
      <w:pPr>
        <w:widowControl/>
        <w:jc w:val="center"/>
      </w:pPr>
      <w:r w:rsidRPr="00EC79EA">
        <w:t>*         *         *         *         *</w:t>
      </w:r>
    </w:p>
    <w:p w14:paraId="7F283616" w14:textId="77777777" w:rsidR="000D3CE5" w:rsidRPr="00EC79EA" w:rsidRDefault="000D3CE5" w:rsidP="00EC79EA">
      <w:pPr>
        <w:widowControl/>
        <w:rPr>
          <w:color w:val="000000"/>
        </w:rPr>
      </w:pPr>
    </w:p>
    <w:p w14:paraId="44AFDB6F" w14:textId="77777777" w:rsidR="000D3CE5" w:rsidRPr="00EC79EA" w:rsidRDefault="00FF18C2" w:rsidP="00EC79EA">
      <w:pPr>
        <w:widowControl/>
        <w:rPr>
          <w:color w:val="000000"/>
        </w:rPr>
      </w:pPr>
      <w:r w:rsidRPr="00EC79EA">
        <w:rPr>
          <w:color w:val="000000"/>
        </w:rPr>
        <w:t xml:space="preserve">Unless otherwise noted, if you have questions about any item summarized above, please call or e-mail Lynn L. Bergeson at (202) 557-3801 or </w:t>
      </w:r>
      <w:hyperlink r:id="rId32" w:history="1">
        <w:r w:rsidRPr="00EC79EA">
          <w:rPr>
            <w:rStyle w:val="Hyperlink"/>
          </w:rPr>
          <w:t>lbergeson@lawbc.com</w:t>
        </w:r>
      </w:hyperlink>
      <w:r w:rsidRPr="00EC79EA">
        <w:rPr>
          <w:color w:val="000000"/>
        </w:rPr>
        <w:t xml:space="preserve">, or Carla N. Hutton at (202) 557-3809 or </w:t>
      </w:r>
      <w:hyperlink r:id="rId33" w:history="1">
        <w:r w:rsidRPr="00EC79EA">
          <w:rPr>
            <w:rStyle w:val="Hyperlink"/>
          </w:rPr>
          <w:t>chutton@lawbc.com</w:t>
        </w:r>
      </w:hyperlink>
      <w:r w:rsidRPr="00EC79EA">
        <w:rPr>
          <w:color w:val="000000"/>
        </w:rPr>
        <w:t>.</w:t>
      </w:r>
    </w:p>
    <w:p w14:paraId="29820B77" w14:textId="77777777" w:rsidR="000D3CE5" w:rsidRPr="00EC79EA" w:rsidRDefault="00FF18C2" w:rsidP="00EC79EA">
      <w:pPr>
        <w:pStyle w:val="Heading2"/>
        <w:keepNext w:val="0"/>
        <w:spacing w:before="0" w:after="0"/>
        <w:jc w:val="center"/>
        <w:rPr>
          <w:rFonts w:ascii="Times New Roman" w:hAnsi="Times New Roman" w:cs="Times New Roman"/>
          <w:i w:val="0"/>
          <w:sz w:val="24"/>
          <w:szCs w:val="24"/>
        </w:rPr>
      </w:pPr>
      <w:r w:rsidRPr="00EC79EA">
        <w:rPr>
          <w:rFonts w:ascii="Times New Roman" w:hAnsi="Times New Roman" w:cs="Times New Roman"/>
          <w:i w:val="0"/>
          <w:sz w:val="24"/>
          <w:szCs w:val="24"/>
        </w:rPr>
        <w:br w:type="page"/>
      </w:r>
      <w:r w:rsidRPr="00EC79EA">
        <w:rPr>
          <w:rFonts w:ascii="Times New Roman" w:hAnsi="Times New Roman" w:cs="Times New Roman"/>
          <w:i w:val="0"/>
          <w:sz w:val="24"/>
          <w:szCs w:val="24"/>
        </w:rPr>
        <w:lastRenderedPageBreak/>
        <w:t>ACRONYMS</w:t>
      </w:r>
    </w:p>
    <w:p w14:paraId="7CFE9B69" w14:textId="77777777" w:rsidR="000D3CE5" w:rsidRPr="00EC79EA" w:rsidRDefault="000D3CE5" w:rsidP="00EC79EA"/>
    <w:p w14:paraId="4E9CFA6A" w14:textId="77777777" w:rsidR="000D3CE5" w:rsidRPr="00EC79EA" w:rsidRDefault="000D3CE5" w:rsidP="00EC79EA"/>
    <w:p w14:paraId="773F844E" w14:textId="77777777" w:rsidR="000D3CE5" w:rsidRPr="00EC79EA" w:rsidRDefault="00FF18C2" w:rsidP="00EC79EA">
      <w:pPr>
        <w:tabs>
          <w:tab w:val="left" w:pos="720"/>
        </w:tabs>
      </w:pPr>
      <w:r w:rsidRPr="00EC79EA">
        <w:rPr>
          <w:b/>
        </w:rPr>
        <w:t>AQSIQ</w:t>
      </w:r>
      <w:r w:rsidRPr="00EC79EA">
        <w:t xml:space="preserve"> -- General Administration of Quality Supervision, Inspection and Quarantine</w:t>
      </w:r>
    </w:p>
    <w:p w14:paraId="5AC38F55" w14:textId="77777777" w:rsidR="000D3CE5" w:rsidRPr="00EC79EA" w:rsidRDefault="00FF18C2" w:rsidP="00EC79EA">
      <w:pPr>
        <w:tabs>
          <w:tab w:val="left" w:pos="720"/>
        </w:tabs>
      </w:pPr>
      <w:r w:rsidRPr="00EC79EA">
        <w:rPr>
          <w:b/>
        </w:rPr>
        <w:t>B&amp;C</w:t>
      </w:r>
      <w:r w:rsidRPr="00EC79EA">
        <w:t xml:space="preserve"> -- Bergeson &amp; Campbell, P.C.</w:t>
      </w:r>
    </w:p>
    <w:p w14:paraId="1B5E9868" w14:textId="77777777" w:rsidR="000D3CE5" w:rsidRPr="00EC79EA" w:rsidRDefault="00FF18C2" w:rsidP="00EC79EA">
      <w:r w:rsidRPr="00EC79EA">
        <w:rPr>
          <w:b/>
        </w:rPr>
        <w:t>BSMI</w:t>
      </w:r>
      <w:r w:rsidRPr="00EC79EA">
        <w:t xml:space="preserve"> -- Bureau of Standards, Metrology, and Inspection</w:t>
      </w:r>
    </w:p>
    <w:p w14:paraId="1709902C" w14:textId="77777777" w:rsidR="000D3CE5" w:rsidRPr="00EC79EA" w:rsidRDefault="00FF18C2" w:rsidP="00EC79EA">
      <w:r w:rsidRPr="00EC79EA">
        <w:rPr>
          <w:b/>
        </w:rPr>
        <w:t>CBI</w:t>
      </w:r>
      <w:r w:rsidRPr="00EC79EA">
        <w:t xml:space="preserve"> -- Confidential Business Information</w:t>
      </w:r>
    </w:p>
    <w:p w14:paraId="64EC98E9" w14:textId="77777777" w:rsidR="000D3CE5" w:rsidRPr="00EC79EA" w:rsidRDefault="00FF18C2" w:rsidP="00EC79EA">
      <w:pPr>
        <w:rPr>
          <w:rFonts w:eastAsia="Calibri"/>
          <w:szCs w:val="22"/>
        </w:rPr>
      </w:pPr>
      <w:r w:rsidRPr="00EC79EA">
        <w:rPr>
          <w:rFonts w:eastAsia="Calibri"/>
          <w:b/>
          <w:szCs w:val="22"/>
        </w:rPr>
        <w:t>CDTSC</w:t>
      </w:r>
      <w:r w:rsidRPr="00EC79EA">
        <w:rPr>
          <w:rFonts w:eastAsia="Calibri"/>
          <w:szCs w:val="22"/>
        </w:rPr>
        <w:t xml:space="preserve"> -- California Department of Toxic Substances Control</w:t>
      </w:r>
    </w:p>
    <w:p w14:paraId="63B313EF" w14:textId="77777777" w:rsidR="000D3CE5" w:rsidRPr="00EC79EA" w:rsidRDefault="00FF18C2" w:rsidP="00EC79EA">
      <w:r w:rsidRPr="00EC79EA">
        <w:rPr>
          <w:b/>
        </w:rPr>
        <w:t>CEO</w:t>
      </w:r>
      <w:r w:rsidRPr="00EC79EA">
        <w:t xml:space="preserve"> -- Chief Executive Officer</w:t>
      </w:r>
    </w:p>
    <w:p w14:paraId="6810AA3D" w14:textId="77777777" w:rsidR="000D3CE5" w:rsidRPr="00EC79EA" w:rsidRDefault="00FF18C2" w:rsidP="00EC79EA">
      <w:pPr>
        <w:tabs>
          <w:tab w:val="left" w:pos="720"/>
        </w:tabs>
        <w:rPr>
          <w:rFonts w:eastAsia="Calibri"/>
          <w:b/>
          <w:szCs w:val="22"/>
        </w:rPr>
      </w:pPr>
      <w:r w:rsidRPr="00EC79EA">
        <w:rPr>
          <w:rFonts w:eastAsia="Calibri"/>
          <w:b/>
          <w:szCs w:val="22"/>
        </w:rPr>
        <w:t>CERCLA</w:t>
      </w:r>
      <w:r w:rsidRPr="00EC79EA">
        <w:rPr>
          <w:rFonts w:eastAsia="Calibri"/>
          <w:szCs w:val="22"/>
        </w:rPr>
        <w:t xml:space="preserve"> -- Comprehensive Environmental Response, Compensation, and Liability Act</w:t>
      </w:r>
    </w:p>
    <w:p w14:paraId="625FCE02" w14:textId="77777777" w:rsidR="000D3CE5" w:rsidRPr="00EC79EA" w:rsidRDefault="00FF18C2" w:rsidP="00EC79EA">
      <w:r w:rsidRPr="00EC79EA">
        <w:rPr>
          <w:b/>
        </w:rPr>
        <w:t>CFDA</w:t>
      </w:r>
      <w:r w:rsidRPr="00EC79EA">
        <w:t xml:space="preserve"> -- China Food and Drug Administration</w:t>
      </w:r>
    </w:p>
    <w:p w14:paraId="106F197E" w14:textId="77777777" w:rsidR="000D3CE5" w:rsidRPr="00EC79EA" w:rsidRDefault="00FF18C2" w:rsidP="00EC79EA">
      <w:pPr>
        <w:tabs>
          <w:tab w:val="left" w:pos="0"/>
          <w:tab w:val="left" w:pos="720"/>
        </w:tabs>
      </w:pPr>
      <w:r w:rsidRPr="00EC79EA">
        <w:rPr>
          <w:b/>
        </w:rPr>
        <w:t>CMR</w:t>
      </w:r>
      <w:r w:rsidRPr="00EC79EA">
        <w:t xml:space="preserve"> -- Carcinogenic, Mutagenic, or Toxic for Reproduction</w:t>
      </w:r>
    </w:p>
    <w:p w14:paraId="1131A66E" w14:textId="77777777" w:rsidR="000D3CE5" w:rsidRPr="00EC79EA" w:rsidRDefault="00FF18C2" w:rsidP="00EC79EA">
      <w:r w:rsidRPr="00EC79EA">
        <w:rPr>
          <w:b/>
        </w:rPr>
        <w:t>CNS</w:t>
      </w:r>
      <w:r w:rsidRPr="00EC79EA">
        <w:t xml:space="preserve"> -- National Standard of the Republic of China</w:t>
      </w:r>
    </w:p>
    <w:p w14:paraId="38CA9185" w14:textId="77777777" w:rsidR="000D3CE5" w:rsidRPr="00EC79EA" w:rsidRDefault="00FF18C2" w:rsidP="00EC79EA">
      <w:pPr>
        <w:tabs>
          <w:tab w:val="left" w:pos="720"/>
        </w:tabs>
      </w:pPr>
      <w:r w:rsidRPr="00EC79EA">
        <w:rPr>
          <w:b/>
        </w:rPr>
        <w:t>EEU</w:t>
      </w:r>
      <w:r w:rsidRPr="00EC79EA">
        <w:t xml:space="preserve"> -- Eurasian Economic Union</w:t>
      </w:r>
    </w:p>
    <w:p w14:paraId="4E3D60B3" w14:textId="77777777" w:rsidR="000D3CE5" w:rsidRPr="00EC79EA" w:rsidRDefault="00FF18C2" w:rsidP="00EC79EA">
      <w:pPr>
        <w:tabs>
          <w:tab w:val="left" w:pos="720"/>
        </w:tabs>
      </w:pPr>
      <w:r w:rsidRPr="00EC79EA">
        <w:rPr>
          <w:b/>
        </w:rPr>
        <w:t>EPA</w:t>
      </w:r>
      <w:r w:rsidRPr="00EC79EA">
        <w:t xml:space="preserve"> -- United States Environmental Protection Agency</w:t>
      </w:r>
    </w:p>
    <w:p w14:paraId="23B39483" w14:textId="77777777" w:rsidR="000D3CE5" w:rsidRPr="00EC79EA" w:rsidRDefault="00FF18C2" w:rsidP="00EC79EA">
      <w:pPr>
        <w:rPr>
          <w:rFonts w:eastAsia="Calibri"/>
          <w:szCs w:val="22"/>
        </w:rPr>
      </w:pPr>
      <w:r w:rsidRPr="00EC79EA">
        <w:rPr>
          <w:rFonts w:eastAsia="Calibri"/>
          <w:b/>
          <w:szCs w:val="22"/>
        </w:rPr>
        <w:t>EPCRA</w:t>
      </w:r>
      <w:r w:rsidRPr="00EC79EA">
        <w:rPr>
          <w:rFonts w:eastAsia="Calibri"/>
          <w:szCs w:val="22"/>
        </w:rPr>
        <w:t xml:space="preserve"> -- Emergency Planning and Community Right-to-Know Act</w:t>
      </w:r>
    </w:p>
    <w:p w14:paraId="3B552521" w14:textId="77777777" w:rsidR="000D3CE5" w:rsidRPr="00EC79EA" w:rsidRDefault="00FF18C2" w:rsidP="00EC79EA">
      <w:r w:rsidRPr="00EC79EA">
        <w:rPr>
          <w:b/>
        </w:rPr>
        <w:t>EU</w:t>
      </w:r>
      <w:r w:rsidRPr="00EC79EA">
        <w:t xml:space="preserve"> -- European Union</w:t>
      </w:r>
    </w:p>
    <w:p w14:paraId="4C7E3E07" w14:textId="77777777" w:rsidR="000D3CE5" w:rsidRPr="00EC79EA" w:rsidRDefault="00FF18C2" w:rsidP="00EC79EA">
      <w:r w:rsidRPr="00EC79EA">
        <w:rPr>
          <w:b/>
        </w:rPr>
        <w:t>FY</w:t>
      </w:r>
      <w:r w:rsidRPr="00EC79EA">
        <w:t xml:space="preserve"> -- Fiscal Year</w:t>
      </w:r>
    </w:p>
    <w:p w14:paraId="221E609F" w14:textId="77777777" w:rsidR="000D3CE5" w:rsidRPr="00EC79EA" w:rsidRDefault="00FF18C2" w:rsidP="00EC79EA">
      <w:pPr>
        <w:tabs>
          <w:tab w:val="left" w:pos="720"/>
        </w:tabs>
      </w:pPr>
      <w:r w:rsidRPr="00EC79EA">
        <w:rPr>
          <w:b/>
        </w:rPr>
        <w:t>GHS</w:t>
      </w:r>
      <w:r w:rsidRPr="00EC79EA">
        <w:t xml:space="preserve"> -- Globally Harmonized System of Classification and Labeling of Chemicals</w:t>
      </w:r>
    </w:p>
    <w:p w14:paraId="026D7195" w14:textId="77777777" w:rsidR="000D3CE5" w:rsidRPr="00EC79EA" w:rsidRDefault="00FF18C2" w:rsidP="00EC79EA">
      <w:pPr>
        <w:tabs>
          <w:tab w:val="left" w:pos="720"/>
        </w:tabs>
      </w:pPr>
      <w:r w:rsidRPr="00EC79EA">
        <w:rPr>
          <w:b/>
        </w:rPr>
        <w:t>ICdA</w:t>
      </w:r>
      <w:r w:rsidRPr="00EC79EA">
        <w:t xml:space="preserve"> -- International Cadmium Association</w:t>
      </w:r>
    </w:p>
    <w:p w14:paraId="3BAB0EFC" w14:textId="77777777" w:rsidR="000D3CE5" w:rsidRPr="00EC79EA" w:rsidRDefault="00FF18C2" w:rsidP="00EC79EA">
      <w:pPr>
        <w:tabs>
          <w:tab w:val="left" w:pos="720"/>
        </w:tabs>
      </w:pPr>
      <w:r w:rsidRPr="00EC79EA">
        <w:rPr>
          <w:b/>
        </w:rPr>
        <w:t>K-REACH</w:t>
      </w:r>
      <w:r w:rsidRPr="00EC79EA">
        <w:t xml:space="preserve"> -- Act for the Registration and Evaluation of Chemicals</w:t>
      </w:r>
    </w:p>
    <w:p w14:paraId="2C6AB9AF" w14:textId="77777777" w:rsidR="000D3CE5" w:rsidRPr="00EC79EA" w:rsidRDefault="00FF18C2" w:rsidP="00EC79EA">
      <w:pPr>
        <w:tabs>
          <w:tab w:val="left" w:pos="720"/>
        </w:tabs>
      </w:pPr>
      <w:r w:rsidRPr="00EC79EA">
        <w:rPr>
          <w:b/>
        </w:rPr>
        <w:t>LCD</w:t>
      </w:r>
      <w:r w:rsidRPr="00EC79EA">
        <w:t xml:space="preserve"> -- Liquid-Crystal Display</w:t>
      </w:r>
    </w:p>
    <w:p w14:paraId="15623AC7" w14:textId="77777777" w:rsidR="000D3CE5" w:rsidRPr="00EC79EA" w:rsidRDefault="00FF18C2" w:rsidP="00EC79EA">
      <w:pPr>
        <w:tabs>
          <w:tab w:val="left" w:pos="720"/>
        </w:tabs>
      </w:pPr>
      <w:r w:rsidRPr="00EC79EA">
        <w:rPr>
          <w:b/>
        </w:rPr>
        <w:t>MDEQ</w:t>
      </w:r>
      <w:r w:rsidRPr="00EC79EA">
        <w:t xml:space="preserve"> -- Montana Department of Environmental Quality</w:t>
      </w:r>
    </w:p>
    <w:p w14:paraId="7475B3B7" w14:textId="77777777" w:rsidR="000D3CE5" w:rsidRPr="00EC79EA" w:rsidRDefault="00FF18C2" w:rsidP="00EC79EA">
      <w:pPr>
        <w:tabs>
          <w:tab w:val="left" w:pos="720"/>
        </w:tabs>
      </w:pPr>
      <w:r w:rsidRPr="00EC79EA">
        <w:rPr>
          <w:b/>
        </w:rPr>
        <w:t>MDH</w:t>
      </w:r>
      <w:r w:rsidRPr="00EC79EA">
        <w:t xml:space="preserve"> -- Minnesota Department of Health</w:t>
      </w:r>
    </w:p>
    <w:p w14:paraId="627C61FF" w14:textId="77777777" w:rsidR="000D3CE5" w:rsidRPr="00EC79EA" w:rsidRDefault="00FF18C2" w:rsidP="00EC79EA">
      <w:pPr>
        <w:tabs>
          <w:tab w:val="left" w:pos="720"/>
        </w:tabs>
      </w:pPr>
      <w:r w:rsidRPr="00EC79EA">
        <w:rPr>
          <w:b/>
        </w:rPr>
        <w:t>MEP</w:t>
      </w:r>
      <w:r w:rsidRPr="00EC79EA">
        <w:t xml:space="preserve"> -- Ministry of Environmental Protection</w:t>
      </w:r>
    </w:p>
    <w:p w14:paraId="58C870D7" w14:textId="77777777" w:rsidR="000D3CE5" w:rsidRPr="00C911F0" w:rsidRDefault="00FF18C2" w:rsidP="00EC79EA">
      <w:pPr>
        <w:tabs>
          <w:tab w:val="left" w:pos="720"/>
        </w:tabs>
        <w:rPr>
          <w:rFonts w:eastAsia="Calibri"/>
          <w:szCs w:val="22"/>
          <w:lang w:val="nl-BE"/>
        </w:rPr>
      </w:pPr>
      <w:r w:rsidRPr="00C911F0">
        <w:rPr>
          <w:rFonts w:eastAsia="Calibri"/>
          <w:b/>
          <w:szCs w:val="22"/>
          <w:lang w:val="nl-BE"/>
        </w:rPr>
        <w:t>mg/kg</w:t>
      </w:r>
      <w:r w:rsidRPr="00C911F0">
        <w:rPr>
          <w:rFonts w:eastAsia="Calibri"/>
          <w:szCs w:val="22"/>
          <w:lang w:val="nl-BE"/>
        </w:rPr>
        <w:t xml:space="preserve"> -- Milligram Per Kilogram</w:t>
      </w:r>
    </w:p>
    <w:p w14:paraId="1C9DD5F4" w14:textId="77777777" w:rsidR="000D3CE5" w:rsidRPr="00C911F0" w:rsidRDefault="00FF18C2" w:rsidP="00EC79EA">
      <w:pPr>
        <w:tabs>
          <w:tab w:val="left" w:pos="720"/>
        </w:tabs>
        <w:rPr>
          <w:rFonts w:eastAsia="Calibri"/>
          <w:szCs w:val="22"/>
          <w:lang w:val="nl-BE"/>
        </w:rPr>
      </w:pPr>
      <w:r w:rsidRPr="00C911F0">
        <w:rPr>
          <w:rFonts w:eastAsia="Calibri"/>
          <w:b/>
          <w:szCs w:val="22"/>
          <w:lang w:val="nl-BE"/>
        </w:rPr>
        <w:t>mg/l</w:t>
      </w:r>
      <w:r w:rsidRPr="00C911F0">
        <w:rPr>
          <w:rFonts w:eastAsia="Calibri"/>
          <w:szCs w:val="22"/>
          <w:lang w:val="nl-BE"/>
        </w:rPr>
        <w:t xml:space="preserve"> -- Milligram Per Liter</w:t>
      </w:r>
    </w:p>
    <w:p w14:paraId="6E25B00E" w14:textId="77777777" w:rsidR="000D3CE5" w:rsidRPr="00EC79EA" w:rsidRDefault="00FF18C2" w:rsidP="00EC79EA">
      <w:pPr>
        <w:tabs>
          <w:tab w:val="left" w:pos="720"/>
        </w:tabs>
        <w:rPr>
          <w:rFonts w:eastAsia="Calibri"/>
          <w:szCs w:val="22"/>
        </w:rPr>
      </w:pPr>
      <w:r w:rsidRPr="00EC79EA">
        <w:rPr>
          <w:rFonts w:eastAsia="Calibri"/>
          <w:b/>
          <w:szCs w:val="22"/>
        </w:rPr>
        <w:t>MIIT</w:t>
      </w:r>
      <w:r w:rsidRPr="00EC79EA">
        <w:rPr>
          <w:rFonts w:eastAsia="Calibri"/>
          <w:szCs w:val="22"/>
        </w:rPr>
        <w:t xml:space="preserve"> -- Ministry of Industry and Information Technology</w:t>
      </w:r>
    </w:p>
    <w:p w14:paraId="36DFEEB1" w14:textId="77777777" w:rsidR="000D3CE5" w:rsidRPr="00EC79EA" w:rsidRDefault="00FF18C2" w:rsidP="00EC79EA">
      <w:pPr>
        <w:tabs>
          <w:tab w:val="left" w:pos="720"/>
        </w:tabs>
      </w:pPr>
      <w:r w:rsidRPr="00EC79EA">
        <w:rPr>
          <w:b/>
        </w:rPr>
        <w:t>MN FEET</w:t>
      </w:r>
      <w:r w:rsidRPr="00EC79EA">
        <w:t xml:space="preserve"> -- Minnesota Family Environmental Exposure Tracking</w:t>
      </w:r>
    </w:p>
    <w:p w14:paraId="47D4BB77" w14:textId="77777777" w:rsidR="000D3CE5" w:rsidRPr="00EC79EA" w:rsidRDefault="00FF18C2" w:rsidP="00EC79EA">
      <w:pPr>
        <w:tabs>
          <w:tab w:val="left" w:pos="720"/>
        </w:tabs>
      </w:pPr>
      <w:r w:rsidRPr="00EC79EA">
        <w:rPr>
          <w:b/>
        </w:rPr>
        <w:t>MOE</w:t>
      </w:r>
      <w:r w:rsidRPr="00EC79EA">
        <w:t xml:space="preserve"> -- Ministry of the Environment</w:t>
      </w:r>
    </w:p>
    <w:p w14:paraId="4728A2CA" w14:textId="77777777" w:rsidR="000D3CE5" w:rsidRPr="00EC79EA" w:rsidRDefault="00FF18C2" w:rsidP="00EC79EA">
      <w:pPr>
        <w:tabs>
          <w:tab w:val="left" w:pos="720"/>
        </w:tabs>
      </w:pPr>
      <w:r w:rsidRPr="00EC79EA">
        <w:rPr>
          <w:b/>
        </w:rPr>
        <w:t>MOEL</w:t>
      </w:r>
      <w:r w:rsidRPr="00EC79EA">
        <w:t xml:space="preserve"> -- Ministry of Employment and Labor</w:t>
      </w:r>
    </w:p>
    <w:p w14:paraId="7CFA020F" w14:textId="77777777" w:rsidR="000D3CE5" w:rsidRPr="00EC79EA" w:rsidRDefault="00FF18C2" w:rsidP="00EC79EA">
      <w:pPr>
        <w:tabs>
          <w:tab w:val="left" w:pos="720"/>
        </w:tabs>
      </w:pPr>
      <w:r w:rsidRPr="00EC79EA">
        <w:rPr>
          <w:b/>
        </w:rPr>
        <w:t>MSHA</w:t>
      </w:r>
      <w:r w:rsidRPr="00EC79EA">
        <w:t xml:space="preserve"> -- Mine Safety and Health Administration</w:t>
      </w:r>
    </w:p>
    <w:p w14:paraId="1E2E021F" w14:textId="77777777" w:rsidR="000D3CE5" w:rsidRPr="00EC79EA" w:rsidRDefault="00FF18C2" w:rsidP="00EC79EA">
      <w:r w:rsidRPr="00EC79EA">
        <w:rPr>
          <w:b/>
        </w:rPr>
        <w:t>OSH</w:t>
      </w:r>
      <w:r w:rsidRPr="00EC79EA">
        <w:t xml:space="preserve"> -- Occupational Safety and Health</w:t>
      </w:r>
    </w:p>
    <w:p w14:paraId="66141EB9" w14:textId="77777777" w:rsidR="000D3CE5" w:rsidRPr="00EC79EA" w:rsidRDefault="00FF18C2" w:rsidP="00EC79EA">
      <w:pPr>
        <w:tabs>
          <w:tab w:val="left" w:pos="720"/>
        </w:tabs>
      </w:pPr>
      <w:r w:rsidRPr="00EC79EA">
        <w:rPr>
          <w:b/>
        </w:rPr>
        <w:t>PBB</w:t>
      </w:r>
      <w:r w:rsidRPr="00EC79EA">
        <w:t xml:space="preserve"> -- Polybrominated Biphenyl</w:t>
      </w:r>
    </w:p>
    <w:p w14:paraId="2CEB99A4" w14:textId="77777777" w:rsidR="000D3CE5" w:rsidRPr="00EC79EA" w:rsidRDefault="00FF18C2" w:rsidP="00EC79EA">
      <w:pPr>
        <w:tabs>
          <w:tab w:val="left" w:pos="720"/>
        </w:tabs>
      </w:pPr>
      <w:r w:rsidRPr="00EC79EA">
        <w:rPr>
          <w:b/>
        </w:rPr>
        <w:t>PBDE</w:t>
      </w:r>
      <w:r w:rsidRPr="00EC79EA">
        <w:t xml:space="preserve"> -- </w:t>
      </w:r>
      <w:r w:rsidRPr="00EC79EA">
        <w:rPr>
          <w:lang w:eastAsia="zh-CN"/>
        </w:rPr>
        <w:t>Polybrominated Diphenyl Ether</w:t>
      </w:r>
    </w:p>
    <w:p w14:paraId="6571FAC6" w14:textId="77777777" w:rsidR="000D3CE5" w:rsidRPr="00EC79EA" w:rsidRDefault="00FF18C2" w:rsidP="00EC79EA">
      <w:pPr>
        <w:tabs>
          <w:tab w:val="left" w:pos="720"/>
        </w:tabs>
      </w:pPr>
      <w:r w:rsidRPr="00EC79EA">
        <w:rPr>
          <w:b/>
        </w:rPr>
        <w:t>PEC</w:t>
      </w:r>
      <w:r w:rsidRPr="00EC79EA">
        <w:t xml:space="preserve"> -- Priority Existing Chemical</w:t>
      </w:r>
    </w:p>
    <w:p w14:paraId="60AE61BC" w14:textId="77777777" w:rsidR="000D3CE5" w:rsidRPr="00EC79EA" w:rsidRDefault="00FF18C2" w:rsidP="00EC79EA">
      <w:pPr>
        <w:tabs>
          <w:tab w:val="left" w:pos="720"/>
        </w:tabs>
      </w:pPr>
      <w:r w:rsidRPr="00EC79EA">
        <w:rPr>
          <w:b/>
        </w:rPr>
        <w:t>ppm</w:t>
      </w:r>
      <w:r w:rsidRPr="00EC79EA">
        <w:t xml:space="preserve"> -- Part Per Million</w:t>
      </w:r>
    </w:p>
    <w:p w14:paraId="1CE8410A" w14:textId="77777777" w:rsidR="000D3CE5" w:rsidRPr="00EC79EA" w:rsidRDefault="00FF18C2" w:rsidP="00EC79EA">
      <w:pPr>
        <w:tabs>
          <w:tab w:val="left" w:pos="720"/>
        </w:tabs>
      </w:pPr>
      <w:r w:rsidRPr="00EC79EA">
        <w:rPr>
          <w:b/>
        </w:rPr>
        <w:t>RoHS2</w:t>
      </w:r>
      <w:r w:rsidRPr="00EC79EA">
        <w:t xml:space="preserve"> -- Administrative Measures for the Restriction of the Use of Hazardous Substances in Electrical and Electronic Products</w:t>
      </w:r>
    </w:p>
    <w:p w14:paraId="1513EB03" w14:textId="77777777" w:rsidR="000D3CE5" w:rsidRPr="00EC79EA" w:rsidRDefault="00FF18C2" w:rsidP="00EC79EA">
      <w:pPr>
        <w:rPr>
          <w:rFonts w:eastAsia="Calibri"/>
          <w:szCs w:val="22"/>
        </w:rPr>
      </w:pPr>
      <w:r w:rsidRPr="00EC79EA">
        <w:rPr>
          <w:rFonts w:eastAsia="Calibri"/>
          <w:b/>
          <w:szCs w:val="22"/>
        </w:rPr>
        <w:t>SAIC</w:t>
      </w:r>
      <w:r w:rsidRPr="00EC79EA">
        <w:rPr>
          <w:rFonts w:eastAsia="Calibri"/>
          <w:szCs w:val="22"/>
        </w:rPr>
        <w:t xml:space="preserve"> -- State Administration for Industry and Commerce</w:t>
      </w:r>
    </w:p>
    <w:p w14:paraId="382B856B" w14:textId="77777777" w:rsidR="000D3CE5" w:rsidRPr="00EC79EA" w:rsidRDefault="00FF18C2" w:rsidP="00EC79EA">
      <w:pPr>
        <w:rPr>
          <w:rFonts w:eastAsia="Calibri"/>
          <w:szCs w:val="22"/>
        </w:rPr>
      </w:pPr>
      <w:r w:rsidRPr="00EC79EA">
        <w:rPr>
          <w:rFonts w:eastAsia="Calibri"/>
          <w:b/>
          <w:szCs w:val="22"/>
        </w:rPr>
        <w:t>SAWS</w:t>
      </w:r>
      <w:r w:rsidRPr="00EC79EA">
        <w:rPr>
          <w:rFonts w:eastAsia="Calibri"/>
          <w:szCs w:val="22"/>
        </w:rPr>
        <w:t xml:space="preserve"> -- State Administration of Work Safety</w:t>
      </w:r>
    </w:p>
    <w:p w14:paraId="78AA1D9A" w14:textId="77777777" w:rsidR="000D3CE5" w:rsidRPr="00EC79EA" w:rsidRDefault="00FF18C2" w:rsidP="00EC79EA">
      <w:pPr>
        <w:rPr>
          <w:rFonts w:eastAsia="Calibri"/>
          <w:szCs w:val="22"/>
        </w:rPr>
      </w:pPr>
      <w:r w:rsidRPr="00EC79EA">
        <w:rPr>
          <w:rFonts w:eastAsia="Calibri"/>
          <w:b/>
          <w:szCs w:val="22"/>
        </w:rPr>
        <w:t>SDS</w:t>
      </w:r>
      <w:r w:rsidRPr="00EC79EA">
        <w:rPr>
          <w:rFonts w:eastAsia="Calibri"/>
          <w:szCs w:val="22"/>
        </w:rPr>
        <w:t xml:space="preserve"> -- Safety Data Sheet</w:t>
      </w:r>
    </w:p>
    <w:p w14:paraId="313EA4F1" w14:textId="77777777" w:rsidR="000D3CE5" w:rsidRPr="00EC79EA" w:rsidRDefault="00FF18C2" w:rsidP="00EC79EA">
      <w:pPr>
        <w:tabs>
          <w:tab w:val="left" w:pos="720"/>
        </w:tabs>
        <w:rPr>
          <w:color w:val="000000"/>
        </w:rPr>
      </w:pPr>
      <w:r w:rsidRPr="00EC79EA">
        <w:rPr>
          <w:b/>
          <w:color w:val="000000"/>
        </w:rPr>
        <w:t>TRI</w:t>
      </w:r>
      <w:r w:rsidRPr="00EC79EA">
        <w:rPr>
          <w:color w:val="000000"/>
        </w:rPr>
        <w:t xml:space="preserve"> -- Toxics Release Inventory</w:t>
      </w:r>
    </w:p>
    <w:p w14:paraId="4B4A7F1A" w14:textId="77777777" w:rsidR="000D3CE5" w:rsidRPr="00EC79EA" w:rsidRDefault="00FF18C2" w:rsidP="00EC79EA">
      <w:pPr>
        <w:tabs>
          <w:tab w:val="left" w:pos="720"/>
        </w:tabs>
      </w:pPr>
      <w:r w:rsidRPr="00EC79EA">
        <w:rPr>
          <w:b/>
        </w:rPr>
        <w:lastRenderedPageBreak/>
        <w:t>TSCA</w:t>
      </w:r>
      <w:r w:rsidRPr="00EC79EA">
        <w:t xml:space="preserve"> -- Toxic Substances Control Act</w:t>
      </w:r>
    </w:p>
    <w:p w14:paraId="03FAE237" w14:textId="77777777" w:rsidR="000D3CE5" w:rsidRPr="00EC79EA" w:rsidRDefault="00FF18C2" w:rsidP="00EC79EA">
      <w:r w:rsidRPr="00EC79EA">
        <w:rPr>
          <w:b/>
        </w:rPr>
        <w:t>UID</w:t>
      </w:r>
      <w:r w:rsidRPr="00EC79EA">
        <w:t xml:space="preserve"> -- Unique Identifier</w:t>
      </w:r>
    </w:p>
    <w:p w14:paraId="4AC4FC52" w14:textId="77777777" w:rsidR="000D3CE5" w:rsidRDefault="00FF18C2" w:rsidP="00EC79EA">
      <w:r w:rsidRPr="00EC79EA">
        <w:rPr>
          <w:b/>
        </w:rPr>
        <w:t>VOC</w:t>
      </w:r>
      <w:r w:rsidRPr="00EC79EA">
        <w:t xml:space="preserve"> -- </w:t>
      </w:r>
      <w:r w:rsidR="00684171" w:rsidRPr="00EC79EA">
        <w:t>Volatile organic compound</w:t>
      </w:r>
    </w:p>
    <w:sectPr w:rsidR="000D3CE5">
      <w:headerReference w:type="even" r:id="rId34"/>
      <w:headerReference w:type="default" r:id="rId35"/>
      <w:footerReference w:type="even" r:id="rId36"/>
      <w:footerReference w:type="default" r:id="rId37"/>
      <w:headerReference w:type="first" r:id="rId38"/>
      <w:footerReference w:type="first" r:id="rId39"/>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C490C" w14:textId="77777777" w:rsidR="000D3CE5" w:rsidRDefault="00FF18C2">
      <w:r>
        <w:separator/>
      </w:r>
    </w:p>
  </w:endnote>
  <w:endnote w:type="continuationSeparator" w:id="0">
    <w:p w14:paraId="6F698F90" w14:textId="77777777" w:rsidR="000D3CE5" w:rsidRDefault="00FF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8ADD4" w14:textId="77777777" w:rsidR="00EC79EA" w:rsidRDefault="00EC7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BD11" w14:textId="77777777" w:rsidR="000D3CE5" w:rsidRPr="00FF18C2" w:rsidRDefault="00FF18C2" w:rsidP="00FF18C2">
    <w:pPr>
      <w:pStyle w:val="Footer"/>
      <w:jc w:val="left"/>
      <w:rPr>
        <w:noProof/>
      </w:rPr>
    </w:pPr>
    <w:r>
      <w:rPr>
        <w:noProof/>
      </w:rPr>
      <w:t>{01002.001 / 111 / 00237267.DOCX}</w:t>
    </w:r>
    <w:r>
      <w:rPr>
        <w:noProof/>
      </w:rPr>
      <w:tab/>
    </w:r>
    <w:r w:rsidR="00261F35" w:rsidRPr="00FF18C2">
      <w:rPr>
        <w:noProof/>
      </w:rPr>
      <w:t>{01002.001 / 111 / 00237267.DOCX}</w:t>
    </w:r>
  </w:p>
  <w:p w14:paraId="38A70FD7" w14:textId="77777777" w:rsidR="000D3CE5" w:rsidRPr="00FF18C2" w:rsidRDefault="000D3CE5">
    <w:pPr>
      <w:pStyle w:val="Footer"/>
      <w:rPr>
        <w:noProof/>
      </w:rPr>
    </w:pPr>
  </w:p>
  <w:p w14:paraId="7C177CB3" w14:textId="77777777" w:rsidR="000D3CE5" w:rsidRPr="00FF18C2" w:rsidRDefault="00FF18C2">
    <w:pPr>
      <w:pStyle w:val="Footer"/>
      <w:jc w:val="right"/>
      <w:rPr>
        <w:noProof/>
      </w:rPr>
    </w:pPr>
    <w:r w:rsidRPr="00FF18C2">
      <w:rPr>
        <w:noProof/>
      </w:rPr>
      <w:drawing>
        <wp:inline distT="0" distB="0" distL="0" distR="0" wp14:anchorId="0090375B" wp14:editId="37A84C24">
          <wp:extent cx="762000" cy="114300"/>
          <wp:effectExtent l="0" t="0" r="0" b="0"/>
          <wp:docPr id="10" name="Picture 10" descr="BCs2ndsheetbo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s2ndsheetbo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43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875B7" w14:textId="77777777" w:rsidR="000D3CE5" w:rsidRPr="00FF18C2" w:rsidRDefault="00FF18C2" w:rsidP="00FF18C2">
    <w:pPr>
      <w:pStyle w:val="Footer"/>
      <w:jc w:val="left"/>
      <w:rPr>
        <w:noProof/>
      </w:rPr>
    </w:pPr>
    <w:r>
      <w:rPr>
        <w:noProof/>
      </w:rPr>
      <w:t>{01002.001 / 111 / 00237267.DOCX}</w:t>
    </w:r>
    <w:r>
      <w:rPr>
        <w:noProof/>
      </w:rPr>
      <w:tab/>
    </w:r>
    <w:r w:rsidR="00261F35" w:rsidRPr="00FF18C2">
      <w:rPr>
        <w:noProof/>
      </w:rPr>
      <w:t>{01002.001 / 111 / 00237267.DOCX}</w:t>
    </w:r>
  </w:p>
  <w:p w14:paraId="5F38D302" w14:textId="77777777" w:rsidR="000D3CE5" w:rsidRPr="00FF18C2" w:rsidRDefault="000D3CE5">
    <w:pPr>
      <w:pStyle w:val="Footer"/>
      <w:rPr>
        <w:noProof/>
      </w:rPr>
    </w:pPr>
  </w:p>
  <w:p w14:paraId="2203D24A" w14:textId="77777777" w:rsidR="000D3CE5" w:rsidRPr="00FF18C2" w:rsidRDefault="00FF18C2">
    <w:pPr>
      <w:pStyle w:val="Footer"/>
      <w:rPr>
        <w:noProof/>
      </w:rPr>
    </w:pPr>
    <w:r w:rsidRPr="00FF18C2">
      <w:rPr>
        <w:noProof/>
      </w:rPr>
      <w:drawing>
        <wp:inline distT="0" distB="0" distL="0" distR="0" wp14:anchorId="205618E4" wp14:editId="2205B540">
          <wp:extent cx="5953125" cy="295275"/>
          <wp:effectExtent l="0" t="0" r="0" b="0"/>
          <wp:docPr id="12" name="Picture 12" descr="lbergesonltthrheadbot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ergesonltthrheadbotto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92985" w14:textId="77777777" w:rsidR="000D3CE5" w:rsidRDefault="00FF18C2">
      <w:pPr>
        <w:rPr>
          <w:noProof/>
        </w:rPr>
      </w:pPr>
      <w:r>
        <w:rPr>
          <w:noProof/>
        </w:rPr>
        <w:separator/>
      </w:r>
    </w:p>
  </w:footnote>
  <w:footnote w:type="continuationSeparator" w:id="0">
    <w:p w14:paraId="7C48F4C8" w14:textId="77777777" w:rsidR="000D3CE5" w:rsidRDefault="00FF18C2">
      <w:r>
        <w:continuationSeparator/>
      </w:r>
    </w:p>
  </w:footnote>
  <w:footnote w:id="1">
    <w:p w14:paraId="50072A98" w14:textId="77777777" w:rsidR="000D3CE5" w:rsidRDefault="00FF18C2">
      <w:pPr>
        <w:tabs>
          <w:tab w:val="left" w:pos="720"/>
        </w:tabs>
        <w:spacing w:after="240"/>
        <w:ind w:left="720" w:hanging="720"/>
      </w:pPr>
      <w:r>
        <w:rPr>
          <w:rStyle w:val="FootnoteReference"/>
          <w:vertAlign w:val="superscript"/>
        </w:rPr>
        <w:footnoteRef/>
      </w:r>
      <w:r>
        <w:tab/>
        <w:t>This Update addresses significant federal, state, and international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169A" w14:textId="77777777" w:rsidR="00EC79EA" w:rsidRDefault="00EC7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474FE" w14:textId="77777777" w:rsidR="000D3CE5" w:rsidRDefault="00FF18C2">
    <w:pPr>
      <w:pStyle w:val="Header"/>
      <w:jc w:val="right"/>
    </w:pPr>
    <w:r>
      <w:rPr>
        <w:noProof/>
      </w:rPr>
      <w:drawing>
        <wp:inline distT="0" distB="0" distL="0" distR="0" wp14:anchorId="03244436" wp14:editId="21597953">
          <wp:extent cx="619125" cy="438150"/>
          <wp:effectExtent l="0" t="0" r="0" b="0"/>
          <wp:docPr id="9" name="Picture 9" descr="bC2ndsheet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2ndsheet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438150"/>
                  </a:xfrm>
                  <a:prstGeom prst="rect">
                    <a:avLst/>
                  </a:prstGeom>
                  <a:noFill/>
                  <a:ln>
                    <a:noFill/>
                  </a:ln>
                </pic:spPr>
              </pic:pic>
            </a:graphicData>
          </a:graphic>
        </wp:inline>
      </w:drawing>
    </w:r>
  </w:p>
  <w:p w14:paraId="26391D2D" w14:textId="77777777" w:rsidR="000D3CE5" w:rsidRDefault="000D3CE5">
    <w:pPr>
      <w:pStyle w:val="Header"/>
    </w:pPr>
  </w:p>
  <w:p w14:paraId="78210636" w14:textId="77777777" w:rsidR="000D3CE5" w:rsidRDefault="00FF18C2">
    <w:pPr>
      <w:pStyle w:val="Header"/>
      <w:rPr>
        <w:rStyle w:val="PageNumber"/>
        <w:u w:val="single"/>
      </w:rPr>
    </w:pPr>
    <w:r>
      <w:rPr>
        <w:u w:val="single"/>
      </w:rPr>
      <w:t xml:space="preserve">The International Cadmium Association -- </w:t>
    </w:r>
    <w:r w:rsidRPr="00EC79EA">
      <w:rPr>
        <w:u w:val="single"/>
      </w:rPr>
      <w:t>March</w:t>
    </w:r>
    <w:r>
      <w:rPr>
        <w:u w:val="single"/>
      </w:rPr>
      <w:t xml:space="preserve"> 28, 2018, Issue 45, p. </w:t>
    </w: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17</w:t>
    </w:r>
    <w:r>
      <w:rPr>
        <w:rStyle w:val="PageNumber"/>
        <w:u w:val="single"/>
      </w:rPr>
      <w:fldChar w:fldCharType="end"/>
    </w:r>
  </w:p>
  <w:p w14:paraId="25F82EAB" w14:textId="77777777" w:rsidR="000D3CE5" w:rsidRDefault="000D3CE5">
    <w:pPr>
      <w:pStyle w:val="Header"/>
      <w:rPr>
        <w:rStyle w:val="PageNumber"/>
      </w:rPr>
    </w:pPr>
  </w:p>
  <w:p w14:paraId="3D232313" w14:textId="77777777" w:rsidR="000D3CE5" w:rsidRDefault="000D3CE5">
    <w:pPr>
      <w:pStyle w:val="Header"/>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18E9" w14:textId="77777777" w:rsidR="000D3CE5" w:rsidRDefault="00FF18C2">
    <w:pPr>
      <w:pStyle w:val="Header"/>
      <w:jc w:val="right"/>
    </w:pPr>
    <w:r>
      <w:rPr>
        <w:noProof/>
      </w:rPr>
      <w:drawing>
        <wp:inline distT="0" distB="0" distL="0" distR="0" wp14:anchorId="4E7DCFC1" wp14:editId="4B97F9C7">
          <wp:extent cx="3448050" cy="428625"/>
          <wp:effectExtent l="0" t="0" r="0" b="0"/>
          <wp:docPr id="11" name="Picture 11" descr="lbergesonletterheadto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ergesonletterheadtop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428625"/>
                  </a:xfrm>
                  <a:prstGeom prst="rect">
                    <a:avLst/>
                  </a:prstGeom>
                  <a:noFill/>
                  <a:ln>
                    <a:noFill/>
                  </a:ln>
                </pic:spPr>
              </pic:pic>
            </a:graphicData>
          </a:graphic>
        </wp:inline>
      </w:drawing>
    </w:r>
  </w:p>
  <w:p w14:paraId="232B6E06" w14:textId="77777777" w:rsidR="000D3CE5" w:rsidRDefault="000D3CE5">
    <w:pPr>
      <w:pStyle w:val="Header"/>
    </w:pPr>
  </w:p>
  <w:p w14:paraId="5428ABAD" w14:textId="77777777" w:rsidR="000D3CE5" w:rsidRDefault="000D3CE5">
    <w:pPr>
      <w:pStyle w:val="Header"/>
    </w:pPr>
  </w:p>
  <w:p w14:paraId="374F0156" w14:textId="77777777" w:rsidR="000D3CE5" w:rsidRDefault="000D3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E08"/>
    <w:multiLevelType w:val="hybridMultilevel"/>
    <w:tmpl w:val="EB8E3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C1AE2"/>
    <w:multiLevelType w:val="hybridMultilevel"/>
    <w:tmpl w:val="2DBE3858"/>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91BDB"/>
    <w:multiLevelType w:val="hybridMultilevel"/>
    <w:tmpl w:val="97D65F5C"/>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10389"/>
    <w:multiLevelType w:val="hybridMultilevel"/>
    <w:tmpl w:val="7EF889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D37FFD"/>
    <w:multiLevelType w:val="hybridMultilevel"/>
    <w:tmpl w:val="D85E06F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E0F601D"/>
    <w:multiLevelType w:val="hybridMultilevel"/>
    <w:tmpl w:val="95E02C04"/>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545D2C"/>
    <w:multiLevelType w:val="hybridMultilevel"/>
    <w:tmpl w:val="3C32CB74"/>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D37C7"/>
    <w:multiLevelType w:val="hybridMultilevel"/>
    <w:tmpl w:val="10143F0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A3773"/>
    <w:multiLevelType w:val="hybridMultilevel"/>
    <w:tmpl w:val="DDA22B72"/>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F3450"/>
    <w:multiLevelType w:val="hybridMultilevel"/>
    <w:tmpl w:val="2BAE1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E3733"/>
    <w:multiLevelType w:val="hybridMultilevel"/>
    <w:tmpl w:val="AE64A282"/>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95DB2"/>
    <w:multiLevelType w:val="hybridMultilevel"/>
    <w:tmpl w:val="A36E379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12E7C"/>
    <w:multiLevelType w:val="hybridMultilevel"/>
    <w:tmpl w:val="344CCBE6"/>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D5DE7"/>
    <w:multiLevelType w:val="hybridMultilevel"/>
    <w:tmpl w:val="87A0A6D6"/>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E3DC7"/>
    <w:multiLevelType w:val="hybridMultilevel"/>
    <w:tmpl w:val="88349700"/>
    <w:lvl w:ilvl="0" w:tplc="D9540BD0">
      <w:start w:val="1"/>
      <w:numFmt w:val="bullet"/>
      <w:lvlText w:val=""/>
      <w:lvlJc w:val="left"/>
      <w:pPr>
        <w:ind w:left="1080" w:hanging="360"/>
      </w:pPr>
      <w:rPr>
        <w:rFonts w:ascii="Wingdings" w:hAnsi="Wingdings"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91E54"/>
    <w:multiLevelType w:val="hybridMultilevel"/>
    <w:tmpl w:val="6A327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76265"/>
    <w:multiLevelType w:val="hybridMultilevel"/>
    <w:tmpl w:val="116CB1E6"/>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A7884"/>
    <w:multiLevelType w:val="hybridMultilevel"/>
    <w:tmpl w:val="47340A28"/>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B4408"/>
    <w:multiLevelType w:val="hybridMultilevel"/>
    <w:tmpl w:val="68DC201E"/>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B0BEF"/>
    <w:multiLevelType w:val="hybridMultilevel"/>
    <w:tmpl w:val="F97CB38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D137D"/>
    <w:multiLevelType w:val="hybridMultilevel"/>
    <w:tmpl w:val="86B087C6"/>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70BCE"/>
    <w:multiLevelType w:val="hybridMultilevel"/>
    <w:tmpl w:val="27B84BF2"/>
    <w:lvl w:ilvl="0" w:tplc="6FF2FA36">
      <w:start w:val="1"/>
      <w:numFmt w:val="bullet"/>
      <w:lvlText w:val=""/>
      <w:lvlJc w:val="left"/>
      <w:pPr>
        <w:ind w:left="1080" w:hanging="360"/>
      </w:pPr>
      <w:rPr>
        <w:rFonts w:ascii="Wingdings" w:hAnsi="Wingdings" w:hint="default"/>
        <w:sz w:val="28"/>
        <w:szCs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60179A"/>
    <w:multiLevelType w:val="hybridMultilevel"/>
    <w:tmpl w:val="552E1B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D529D"/>
    <w:multiLevelType w:val="hybridMultilevel"/>
    <w:tmpl w:val="1D0A748C"/>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1543D"/>
    <w:multiLevelType w:val="hybridMultilevel"/>
    <w:tmpl w:val="FF3A0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954638"/>
    <w:multiLevelType w:val="hybridMultilevel"/>
    <w:tmpl w:val="19D09F4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0693E"/>
    <w:multiLevelType w:val="hybridMultilevel"/>
    <w:tmpl w:val="7DCEB158"/>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376A69"/>
    <w:multiLevelType w:val="hybridMultilevel"/>
    <w:tmpl w:val="21867C9C"/>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D59DE"/>
    <w:multiLevelType w:val="hybridMultilevel"/>
    <w:tmpl w:val="AFA27412"/>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51240"/>
    <w:multiLevelType w:val="hybridMultilevel"/>
    <w:tmpl w:val="967EC744"/>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80574A"/>
    <w:multiLevelType w:val="hybridMultilevel"/>
    <w:tmpl w:val="FA426274"/>
    <w:lvl w:ilvl="0" w:tplc="6FF2FA36">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8575B"/>
    <w:multiLevelType w:val="hybridMultilevel"/>
    <w:tmpl w:val="FBB4EC90"/>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D402C"/>
    <w:multiLevelType w:val="hybridMultilevel"/>
    <w:tmpl w:val="443AB0EE"/>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97FC7"/>
    <w:multiLevelType w:val="hybridMultilevel"/>
    <w:tmpl w:val="8CA4FD02"/>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828D9"/>
    <w:multiLevelType w:val="hybridMultilevel"/>
    <w:tmpl w:val="AF7499F0"/>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187B34"/>
    <w:multiLevelType w:val="hybridMultilevel"/>
    <w:tmpl w:val="97BC77F0"/>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472E9"/>
    <w:multiLevelType w:val="hybridMultilevel"/>
    <w:tmpl w:val="24E6185E"/>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FA3D9F"/>
    <w:multiLevelType w:val="hybridMultilevel"/>
    <w:tmpl w:val="8AC89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11611"/>
    <w:multiLevelType w:val="hybridMultilevel"/>
    <w:tmpl w:val="A1920C32"/>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486B2B"/>
    <w:multiLevelType w:val="hybridMultilevel"/>
    <w:tmpl w:val="22207860"/>
    <w:lvl w:ilvl="0" w:tplc="A5FAE3C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43C8F"/>
    <w:multiLevelType w:val="hybridMultilevel"/>
    <w:tmpl w:val="D59A10A4"/>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6673F"/>
    <w:multiLevelType w:val="hybridMultilevel"/>
    <w:tmpl w:val="4B58DC14"/>
    <w:lvl w:ilvl="0" w:tplc="6FF2FA3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50C2F"/>
    <w:multiLevelType w:val="hybridMultilevel"/>
    <w:tmpl w:val="35F2FB0C"/>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A2672"/>
    <w:multiLevelType w:val="hybridMultilevel"/>
    <w:tmpl w:val="381A987E"/>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2C2FF9"/>
    <w:multiLevelType w:val="hybridMultilevel"/>
    <w:tmpl w:val="54F6C65C"/>
    <w:lvl w:ilvl="0" w:tplc="D9540BD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1"/>
  </w:num>
  <w:num w:numId="3">
    <w:abstractNumId w:val="24"/>
  </w:num>
  <w:num w:numId="4">
    <w:abstractNumId w:val="27"/>
  </w:num>
  <w:num w:numId="5">
    <w:abstractNumId w:val="29"/>
  </w:num>
  <w:num w:numId="6">
    <w:abstractNumId w:val="7"/>
  </w:num>
  <w:num w:numId="7">
    <w:abstractNumId w:val="42"/>
  </w:num>
  <w:num w:numId="8">
    <w:abstractNumId w:val="1"/>
  </w:num>
  <w:num w:numId="9">
    <w:abstractNumId w:val="18"/>
  </w:num>
  <w:num w:numId="10">
    <w:abstractNumId w:val="12"/>
  </w:num>
  <w:num w:numId="11">
    <w:abstractNumId w:val="4"/>
  </w:num>
  <w:num w:numId="12">
    <w:abstractNumId w:val="15"/>
  </w:num>
  <w:num w:numId="13">
    <w:abstractNumId w:val="39"/>
  </w:num>
  <w:num w:numId="14">
    <w:abstractNumId w:val="5"/>
  </w:num>
  <w:num w:numId="15">
    <w:abstractNumId w:val="37"/>
  </w:num>
  <w:num w:numId="16">
    <w:abstractNumId w:val="9"/>
  </w:num>
  <w:num w:numId="17">
    <w:abstractNumId w:val="22"/>
  </w:num>
  <w:num w:numId="18">
    <w:abstractNumId w:val="25"/>
  </w:num>
  <w:num w:numId="19">
    <w:abstractNumId w:val="34"/>
  </w:num>
  <w:num w:numId="20">
    <w:abstractNumId w:val="43"/>
  </w:num>
  <w:num w:numId="21">
    <w:abstractNumId w:val="23"/>
  </w:num>
  <w:num w:numId="22">
    <w:abstractNumId w:val="17"/>
  </w:num>
  <w:num w:numId="23">
    <w:abstractNumId w:val="2"/>
  </w:num>
  <w:num w:numId="24">
    <w:abstractNumId w:val="32"/>
  </w:num>
  <w:num w:numId="25">
    <w:abstractNumId w:val="28"/>
  </w:num>
  <w:num w:numId="26">
    <w:abstractNumId w:val="13"/>
  </w:num>
  <w:num w:numId="27">
    <w:abstractNumId w:val="16"/>
  </w:num>
  <w:num w:numId="28">
    <w:abstractNumId w:val="36"/>
  </w:num>
  <w:num w:numId="29">
    <w:abstractNumId w:val="26"/>
  </w:num>
  <w:num w:numId="30">
    <w:abstractNumId w:val="8"/>
  </w:num>
  <w:num w:numId="31">
    <w:abstractNumId w:val="44"/>
  </w:num>
  <w:num w:numId="32">
    <w:abstractNumId w:val="14"/>
  </w:num>
  <w:num w:numId="33">
    <w:abstractNumId w:val="31"/>
  </w:num>
  <w:num w:numId="34">
    <w:abstractNumId w:val="40"/>
  </w:num>
  <w:num w:numId="35">
    <w:abstractNumId w:val="6"/>
  </w:num>
  <w:num w:numId="36">
    <w:abstractNumId w:val="30"/>
  </w:num>
  <w:num w:numId="37">
    <w:abstractNumId w:val="3"/>
  </w:num>
  <w:num w:numId="38">
    <w:abstractNumId w:val="0"/>
  </w:num>
  <w:num w:numId="39">
    <w:abstractNumId w:val="33"/>
  </w:num>
  <w:num w:numId="40">
    <w:abstractNumId w:val="10"/>
  </w:num>
  <w:num w:numId="41">
    <w:abstractNumId w:val="35"/>
  </w:num>
  <w:num w:numId="42">
    <w:abstractNumId w:val="20"/>
  </w:num>
  <w:num w:numId="43">
    <w:abstractNumId w:val="19"/>
  </w:num>
  <w:num w:numId="44">
    <w:abstractNumId w:val="41"/>
  </w:num>
  <w:num w:numId="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730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E5"/>
    <w:rsid w:val="000D3CE5"/>
    <w:rsid w:val="00261F35"/>
    <w:rsid w:val="00452D70"/>
    <w:rsid w:val="00536078"/>
    <w:rsid w:val="00624119"/>
    <w:rsid w:val="00684171"/>
    <w:rsid w:val="00880700"/>
    <w:rsid w:val="00C1727E"/>
    <w:rsid w:val="00C911F0"/>
    <w:rsid w:val="00E62816"/>
    <w:rsid w:val="00EC79EA"/>
    <w:rsid w:val="00FF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3089"/>
    <o:shapelayout v:ext="edit">
      <o:idmap v:ext="edit" data="1"/>
    </o:shapelayout>
  </w:shapeDefaults>
  <w:decimalSymbol w:val=","/>
  <w:listSeparator w:val=";"/>
  <w14:docId w14:val="1898D9C7"/>
  <w15:docId w15:val="{F6B0AEA7-9203-417E-B27C-E10144FF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jc w:val="both"/>
    </w:pPr>
    <w:rPr>
      <w:sz w:val="24"/>
      <w:szCs w:val="24"/>
    </w:rPr>
  </w:style>
  <w:style w:type="paragraph" w:styleId="Heading1">
    <w:name w:val="heading 1"/>
    <w:basedOn w:val="Normal"/>
    <w:next w:val="Normal"/>
    <w:qFormat/>
    <w:pPr>
      <w:keepNext/>
      <w:tabs>
        <w:tab w:val="center" w:pos="4680"/>
      </w:tabs>
      <w:jc w:val="center"/>
      <w:outlineLvl w:val="0"/>
    </w:pPr>
    <w:rPr>
      <w:b/>
      <w:bCs/>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szCs w:val="16"/>
    </w:rPr>
  </w:style>
  <w:style w:type="paragraph" w:styleId="BodyTextIndent">
    <w:name w:val="Body Text Indent"/>
    <w:basedOn w:val="Normal"/>
    <w:pPr>
      <w:ind w:firstLine="1440"/>
    </w:pPr>
  </w:style>
  <w:style w:type="paragraph" w:styleId="BalloonText">
    <w:name w:val="Balloon Text"/>
    <w:basedOn w:val="Normal"/>
    <w:semiHidden/>
    <w:rPr>
      <w:rFonts w:ascii="Tahoma" w:hAnsi="Tahoma" w:cs="Tahoma"/>
      <w:sz w:val="16"/>
      <w:szCs w:val="16"/>
    </w:rPr>
  </w:style>
  <w:style w:type="character" w:styleId="Emphasis">
    <w:name w:val="Emphasis"/>
    <w:uiPriority w:val="20"/>
    <w:qFormat/>
    <w:rPr>
      <w:rFonts w:ascii="Arial Black" w:hAnsi="Arial Black"/>
      <w:sz w:val="18"/>
    </w:rPr>
  </w:style>
  <w:style w:type="paragraph" w:customStyle="1" w:styleId="txt">
    <w:name w:val="txt"/>
    <w:basedOn w:val="Normal"/>
    <w:pPr>
      <w:widowControl/>
      <w:autoSpaceDE/>
      <w:autoSpaceDN/>
      <w:adjustRightInd/>
      <w:spacing w:before="100" w:beforeAutospacing="1" w:after="100" w:afterAutospacing="1" w:line="336" w:lineRule="auto"/>
    </w:pPr>
    <w:rPr>
      <w:rFonts w:ascii="Verdana" w:eastAsia="SimSun" w:hAnsi="Verdana"/>
      <w:color w:val="000000"/>
      <w:sz w:val="18"/>
      <w:szCs w:val="18"/>
      <w:lang w:eastAsia="zh-CN"/>
    </w:rPr>
  </w:style>
  <w:style w:type="paragraph" w:customStyle="1" w:styleId="CharCharCharChar">
    <w:name w:val="Char 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customStyle="1" w:styleId="MessageHeaderLabel">
    <w:name w:val="Message Header Label"/>
    <w:rPr>
      <w:rFonts w:ascii="Arial Black" w:hAnsi="Arial Black"/>
      <w:spacing w:val="-10"/>
      <w:sz w:val="18"/>
    </w:rPr>
  </w:style>
  <w:style w:type="character" w:customStyle="1" w:styleId="publication">
    <w:name w:val="publication"/>
    <w:basedOn w:val="DefaultParagraphFont"/>
  </w:style>
  <w:style w:type="paragraph" w:styleId="BodyText">
    <w:name w:val="Body Text"/>
    <w:aliases w:val="bt"/>
    <w:basedOn w:val="Normal"/>
    <w:link w:val="BodyTextChar"/>
    <w:pPr>
      <w:widowControl/>
      <w:autoSpaceDE/>
      <w:autoSpaceDN/>
      <w:adjustRightInd/>
      <w:spacing w:after="120"/>
      <w:jc w:val="left"/>
    </w:pPr>
  </w:style>
  <w:style w:type="character" w:styleId="Hyperlink">
    <w:name w:val="Hyperlink"/>
    <w:rPr>
      <w:rFonts w:ascii="Times New Roman" w:hAnsi="Times New Roman"/>
      <w:color w:val="0066CC"/>
      <w:u w:val="single"/>
    </w:rPr>
  </w:style>
  <w:style w:type="paragraph" w:styleId="NormalWeb">
    <w:name w:val="Normal (Web)"/>
    <w:basedOn w:val="Normal"/>
    <w:link w:val="NormalWebChar"/>
    <w:pPr>
      <w:widowControl/>
      <w:autoSpaceDE/>
      <w:autoSpaceDN/>
      <w:adjustRightInd/>
      <w:spacing w:before="100" w:beforeAutospacing="1" w:after="100" w:afterAutospacing="1"/>
      <w:jc w:val="left"/>
    </w:pPr>
    <w:rPr>
      <w:rFonts w:ascii="Arial Unicode MS" w:eastAsia="Arial Unicode MS" w:hAnsi="Arial Unicode MS" w:cs="Arial Unicode M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CharCharChar">
    <w:name w:val="Char Char Char"/>
    <w:basedOn w:val="Normal"/>
    <w:pPr>
      <w:widowControl/>
      <w:autoSpaceDE/>
      <w:autoSpaceDN/>
      <w:adjustRightInd/>
      <w:spacing w:after="160" w:line="240" w:lineRule="exact"/>
      <w:jc w:val="left"/>
    </w:pPr>
    <w:rPr>
      <w:rFonts w:ascii="Verdana" w:hAnsi="Verdana"/>
      <w:sz w:val="20"/>
      <w:szCs w:val="20"/>
    </w:rPr>
  </w:style>
  <w:style w:type="paragraph" w:customStyle="1" w:styleId="CharCharCharCharCharChar1CharCharCharCharCharCharCharCharCharCharCharCharCharCharCharCharCharCharCharCharCharCharCharCharCharCharCharChar">
    <w:name w:val="Char Char Char Char Char Char1 Char Char Char Char Char Char Char Char Char Char Char Char Char Char Char Char Char Char Char Char Char Char Char Char Char Char Char Char"/>
    <w:basedOn w:val="Normal"/>
    <w:pPr>
      <w:widowControl/>
      <w:autoSpaceDE/>
      <w:autoSpaceDN/>
      <w:adjustRightInd/>
      <w:spacing w:after="160" w:line="240" w:lineRule="exact"/>
      <w:jc w:val="left"/>
    </w:pPr>
    <w:rPr>
      <w:rFonts w:ascii="Verdana" w:hAnsi="Verdana"/>
      <w:sz w:val="20"/>
      <w:szCs w:val="20"/>
    </w:rPr>
  </w:style>
  <w:style w:type="character" w:styleId="PageNumber">
    <w:name w:val="page number"/>
    <w:basedOn w:val="DefaultParagraphFont"/>
  </w:style>
  <w:style w:type="character" w:styleId="FollowedHyperlink">
    <w:name w:val="FollowedHyperlink"/>
    <w:rPr>
      <w:color w:val="800080"/>
      <w:u w:val="single"/>
    </w:rPr>
  </w:style>
  <w:style w:type="paragraph" w:styleId="List">
    <w:name w:val="List"/>
    <w:basedOn w:val="Normal"/>
    <w:pPr>
      <w:widowControl/>
      <w:autoSpaceDE/>
      <w:autoSpaceDN/>
      <w:adjustRightInd/>
      <w:ind w:left="360" w:hanging="360"/>
      <w:jc w:val="left"/>
    </w:pPr>
  </w:style>
  <w:style w:type="paragraph" w:styleId="ListParagraph">
    <w:name w:val="List Paragraph"/>
    <w:basedOn w:val="Normal"/>
    <w:uiPriority w:val="34"/>
    <w:qFormat/>
    <w:pPr>
      <w:widowControl/>
      <w:autoSpaceDE/>
      <w:autoSpaceDN/>
      <w:adjustRightInd/>
      <w:spacing w:after="200" w:line="276" w:lineRule="auto"/>
      <w:ind w:left="720"/>
      <w:jc w:val="left"/>
    </w:pPr>
    <w:rPr>
      <w:rFonts w:eastAsia="Calibri"/>
      <w:szCs w:val="22"/>
    </w:rPr>
  </w:style>
  <w:style w:type="character" w:customStyle="1" w:styleId="term1">
    <w:name w:val="term1"/>
    <w:rPr>
      <w:b/>
      <w:bCs/>
    </w:rPr>
  </w:style>
  <w:style w:type="character" w:customStyle="1" w:styleId="BodyTextChar">
    <w:name w:val="Body Text Char"/>
    <w:aliases w:val="bt Char"/>
    <w:link w:val="BodyText"/>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Pr>
      <w:rFonts w:ascii="Arial" w:hAnsi="Arial" w:cs="Arial"/>
      <w:b/>
      <w:bCs/>
      <w:i/>
      <w:iCs/>
      <w:sz w:val="28"/>
      <w:szCs w:val="28"/>
    </w:rPr>
  </w:style>
  <w:style w:type="paragraph" w:customStyle="1" w:styleId="mainhdg">
    <w:name w:val="mainhdg"/>
    <w:basedOn w:val="Normal"/>
    <w:pPr>
      <w:widowControl/>
      <w:autoSpaceDE/>
      <w:autoSpaceDN/>
      <w:adjustRightInd/>
      <w:spacing w:after="180"/>
      <w:jc w:val="left"/>
    </w:pPr>
    <w:rPr>
      <w:rFonts w:ascii="Verdana" w:hAnsi="Verdana"/>
      <w:b/>
      <w:bCs/>
      <w:color w:val="666666"/>
      <w:sz w:val="22"/>
      <w:szCs w:val="22"/>
    </w:rPr>
  </w:style>
  <w:style w:type="paragraph" w:customStyle="1" w:styleId="maintext">
    <w:name w:val="maintext"/>
    <w:basedOn w:val="Normal"/>
    <w:pPr>
      <w:widowControl/>
      <w:autoSpaceDE/>
      <w:autoSpaceDN/>
      <w:adjustRightInd/>
      <w:spacing w:line="312" w:lineRule="auto"/>
      <w:jc w:val="left"/>
    </w:pPr>
    <w:rPr>
      <w:rFonts w:ascii="Verdana" w:hAnsi="Verdana"/>
      <w:color w:val="666666"/>
      <w:sz w:val="18"/>
      <w:szCs w:val="18"/>
    </w:rPr>
  </w:style>
  <w:style w:type="character" w:styleId="HTMLCite">
    <w:name w:val="HTML Cite"/>
    <w:uiPriority w:val="99"/>
    <w:unhideWhenUsed/>
    <w:rPr>
      <w:i/>
      <w:iCs/>
    </w:rPr>
  </w:style>
  <w:style w:type="character" w:customStyle="1" w:styleId="NormalWebChar">
    <w:name w:val="Normal (Web) Char"/>
    <w:link w:val="NormalWeb"/>
    <w:rPr>
      <w:rFonts w:ascii="Arial Unicode MS" w:eastAsia="Arial Unicode MS" w:hAnsi="Arial Unicode MS" w:cs="Arial Unicode MS"/>
      <w:sz w:val="24"/>
      <w:szCs w:val="24"/>
    </w:rPr>
  </w:style>
  <w:style w:type="paragraph" w:styleId="Closing">
    <w:name w:val="Closing"/>
    <w:basedOn w:val="Normal"/>
    <w:link w:val="ClosingChar"/>
    <w:pPr>
      <w:keepNext/>
      <w:widowControl/>
      <w:autoSpaceDE/>
      <w:autoSpaceDN/>
      <w:adjustRightInd/>
      <w:spacing w:line="220" w:lineRule="atLeast"/>
    </w:pPr>
    <w:rPr>
      <w:rFonts w:ascii="Arial" w:hAnsi="Arial"/>
      <w:spacing w:val="-5"/>
      <w:szCs w:val="20"/>
    </w:rPr>
  </w:style>
  <w:style w:type="character" w:customStyle="1" w:styleId="ClosingChar">
    <w:name w:val="Closing Char"/>
    <w:link w:val="Closing"/>
    <w:rPr>
      <w:rFonts w:ascii="Arial" w:hAnsi="Arial"/>
      <w:spacing w:val="-5"/>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paragraph" w:customStyle="1" w:styleId="CharCharCharCharCharChar1CharCharCharCharCharCharCharCharCharCharCharCharCharCharCharCharCharCharCharCharCharCharCharCharCharCharCharChar1">
    <w:name w:val="Char Char Char Char Char Char1 Char Char Char Char Char Char Char Char Char Char Char Char Char Char Char Char Char Char Char Char Char Char Char Char Char Char Char Char1"/>
    <w:basedOn w:val="Normal"/>
    <w:pPr>
      <w:widowControl/>
      <w:autoSpaceDE/>
      <w:autoSpaceDN/>
      <w:adjustRightInd/>
      <w:spacing w:after="160" w:line="240" w:lineRule="exact"/>
      <w:jc w:val="left"/>
    </w:pPr>
    <w:rPr>
      <w:rFonts w:ascii="Verdana" w:hAnsi="Verdana"/>
      <w:sz w:val="20"/>
      <w:szCs w:val="20"/>
    </w:rPr>
  </w:style>
  <w:style w:type="paragraph" w:styleId="Revision">
    <w:name w:val="Revision"/>
    <w:hidden/>
    <w:uiPriority w:val="99"/>
    <w:semiHidden/>
    <w:rPr>
      <w:sz w:val="24"/>
      <w:szCs w:val="24"/>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alignleft">
    <w:name w:val="alignleft"/>
    <w:basedOn w:val="Normal"/>
    <w:pPr>
      <w:widowControl/>
      <w:autoSpaceDE/>
      <w:autoSpaceDN/>
      <w:adjustRightInd/>
      <w:spacing w:before="100" w:beforeAutospacing="1" w:after="100" w:afterAutospacing="1"/>
      <w:jc w:val="left"/>
    </w:pPr>
  </w:style>
  <w:style w:type="paragraph" w:styleId="NoSpacing">
    <w:name w:val="No Spacing"/>
    <w:basedOn w:val="Normal"/>
    <w:uiPriority w:val="1"/>
    <w:qFormat/>
    <w:pPr>
      <w:widowControl/>
      <w:autoSpaceDE/>
      <w:autoSpaceDN/>
      <w:adjustRightInd/>
    </w:pPr>
    <w:rPr>
      <w:rFonts w:eastAsiaTheme="minorHAnsi"/>
    </w:rPr>
  </w:style>
  <w:style w:type="character" w:customStyle="1" w:styleId="apple-converted-space">
    <w:name w:val="apple-converted-space"/>
    <w:basedOn w:val="DefaultParagraphFont"/>
    <w:rPr>
      <w:rFonts w:ascii="Times New Roman" w:hAnsi="Times New Roman" w:cs="Times New Roman" w:hint="default"/>
    </w:rPr>
  </w:style>
  <w:style w:type="paragraph" w:customStyle="1" w:styleId="Pa24">
    <w:name w:val="Pa24"/>
    <w:basedOn w:val="Default"/>
    <w:next w:val="Default"/>
    <w:uiPriority w:val="99"/>
    <w:pPr>
      <w:spacing w:line="181" w:lineRule="atLeast"/>
    </w:pPr>
    <w:rPr>
      <w:rFonts w:ascii="Times New Roman" w:eastAsia="Calibr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99850">
      <w:bodyDiv w:val="1"/>
      <w:marLeft w:val="0"/>
      <w:marRight w:val="0"/>
      <w:marTop w:val="0"/>
      <w:marBottom w:val="0"/>
      <w:divBdr>
        <w:top w:val="none" w:sz="0" w:space="0" w:color="auto"/>
        <w:left w:val="none" w:sz="0" w:space="0" w:color="auto"/>
        <w:bottom w:val="none" w:sz="0" w:space="0" w:color="auto"/>
        <w:right w:val="none" w:sz="0" w:space="0" w:color="auto"/>
      </w:divBdr>
      <w:divsChild>
        <w:div w:id="1816027933">
          <w:marLeft w:val="0"/>
          <w:marRight w:val="0"/>
          <w:marTop w:val="0"/>
          <w:marBottom w:val="0"/>
          <w:divBdr>
            <w:top w:val="none" w:sz="0" w:space="0" w:color="auto"/>
            <w:left w:val="none" w:sz="0" w:space="0" w:color="auto"/>
            <w:bottom w:val="none" w:sz="0" w:space="0" w:color="auto"/>
            <w:right w:val="none" w:sz="0" w:space="0" w:color="auto"/>
          </w:divBdr>
        </w:div>
      </w:divsChild>
    </w:div>
    <w:div w:id="270554990">
      <w:bodyDiv w:val="1"/>
      <w:marLeft w:val="0"/>
      <w:marRight w:val="0"/>
      <w:marTop w:val="0"/>
      <w:marBottom w:val="0"/>
      <w:divBdr>
        <w:top w:val="none" w:sz="0" w:space="0" w:color="auto"/>
        <w:left w:val="none" w:sz="0" w:space="0" w:color="auto"/>
        <w:bottom w:val="none" w:sz="0" w:space="0" w:color="auto"/>
        <w:right w:val="none" w:sz="0" w:space="0" w:color="auto"/>
      </w:divBdr>
      <w:divsChild>
        <w:div w:id="1278414796">
          <w:marLeft w:val="0"/>
          <w:marRight w:val="0"/>
          <w:marTop w:val="0"/>
          <w:marBottom w:val="0"/>
          <w:divBdr>
            <w:top w:val="none" w:sz="0" w:space="0" w:color="auto"/>
            <w:left w:val="none" w:sz="0" w:space="0" w:color="auto"/>
            <w:bottom w:val="none" w:sz="0" w:space="0" w:color="auto"/>
            <w:right w:val="none" w:sz="0" w:space="0" w:color="auto"/>
          </w:divBdr>
          <w:divsChild>
            <w:div w:id="1852183031">
              <w:marLeft w:val="0"/>
              <w:marRight w:val="0"/>
              <w:marTop w:val="0"/>
              <w:marBottom w:val="0"/>
              <w:divBdr>
                <w:top w:val="none" w:sz="0" w:space="0" w:color="auto"/>
                <w:left w:val="none" w:sz="0" w:space="0" w:color="auto"/>
                <w:bottom w:val="none" w:sz="0" w:space="0" w:color="auto"/>
                <w:right w:val="none" w:sz="0" w:space="0" w:color="auto"/>
              </w:divBdr>
              <w:divsChild>
                <w:div w:id="1275753266">
                  <w:marLeft w:val="0"/>
                  <w:marRight w:val="0"/>
                  <w:marTop w:val="0"/>
                  <w:marBottom w:val="0"/>
                  <w:divBdr>
                    <w:top w:val="none" w:sz="0" w:space="0" w:color="auto"/>
                    <w:left w:val="none" w:sz="0" w:space="0" w:color="auto"/>
                    <w:bottom w:val="none" w:sz="0" w:space="0" w:color="auto"/>
                    <w:right w:val="none" w:sz="0" w:space="0" w:color="auto"/>
                  </w:divBdr>
                  <w:divsChild>
                    <w:div w:id="87053492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50319">
      <w:bodyDiv w:val="1"/>
      <w:marLeft w:val="0"/>
      <w:marRight w:val="0"/>
      <w:marTop w:val="0"/>
      <w:marBottom w:val="0"/>
      <w:divBdr>
        <w:top w:val="none" w:sz="0" w:space="0" w:color="auto"/>
        <w:left w:val="none" w:sz="0" w:space="0" w:color="auto"/>
        <w:bottom w:val="none" w:sz="0" w:space="0" w:color="auto"/>
        <w:right w:val="none" w:sz="0" w:space="0" w:color="auto"/>
      </w:divBdr>
      <w:divsChild>
        <w:div w:id="1474905437">
          <w:marLeft w:val="0"/>
          <w:marRight w:val="0"/>
          <w:marTop w:val="0"/>
          <w:marBottom w:val="0"/>
          <w:divBdr>
            <w:top w:val="none" w:sz="0" w:space="0" w:color="auto"/>
            <w:left w:val="none" w:sz="0" w:space="0" w:color="auto"/>
            <w:bottom w:val="none" w:sz="0" w:space="0" w:color="auto"/>
            <w:right w:val="none" w:sz="0" w:space="0" w:color="auto"/>
          </w:divBdr>
          <w:divsChild>
            <w:div w:id="1832478379">
              <w:marLeft w:val="0"/>
              <w:marRight w:val="0"/>
              <w:marTop w:val="0"/>
              <w:marBottom w:val="0"/>
              <w:divBdr>
                <w:top w:val="none" w:sz="0" w:space="0" w:color="auto"/>
                <w:left w:val="none" w:sz="0" w:space="0" w:color="auto"/>
                <w:bottom w:val="none" w:sz="0" w:space="0" w:color="auto"/>
                <w:right w:val="none" w:sz="0" w:space="0" w:color="auto"/>
              </w:divBdr>
              <w:divsChild>
                <w:div w:id="201291981">
                  <w:marLeft w:val="0"/>
                  <w:marRight w:val="0"/>
                  <w:marTop w:val="0"/>
                  <w:marBottom w:val="0"/>
                  <w:divBdr>
                    <w:top w:val="none" w:sz="0" w:space="0" w:color="auto"/>
                    <w:left w:val="none" w:sz="0" w:space="0" w:color="auto"/>
                    <w:bottom w:val="none" w:sz="0" w:space="0" w:color="auto"/>
                    <w:right w:val="none" w:sz="0" w:space="0" w:color="auto"/>
                  </w:divBdr>
                  <w:divsChild>
                    <w:div w:id="1295216915">
                      <w:marLeft w:val="0"/>
                      <w:marRight w:val="0"/>
                      <w:marTop w:val="0"/>
                      <w:marBottom w:val="0"/>
                      <w:divBdr>
                        <w:top w:val="none" w:sz="0" w:space="0" w:color="auto"/>
                        <w:left w:val="none" w:sz="0" w:space="0" w:color="auto"/>
                        <w:bottom w:val="none" w:sz="0" w:space="0" w:color="auto"/>
                        <w:right w:val="none" w:sz="0" w:space="0" w:color="auto"/>
                      </w:divBdr>
                      <w:divsChild>
                        <w:div w:id="9277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8398">
      <w:bodyDiv w:val="1"/>
      <w:marLeft w:val="0"/>
      <w:marRight w:val="0"/>
      <w:marTop w:val="0"/>
      <w:marBottom w:val="0"/>
      <w:divBdr>
        <w:top w:val="none" w:sz="0" w:space="0" w:color="auto"/>
        <w:left w:val="none" w:sz="0" w:space="0" w:color="auto"/>
        <w:bottom w:val="none" w:sz="0" w:space="0" w:color="auto"/>
        <w:right w:val="none" w:sz="0" w:space="0" w:color="auto"/>
      </w:divBdr>
    </w:div>
    <w:div w:id="380983274">
      <w:bodyDiv w:val="1"/>
      <w:marLeft w:val="0"/>
      <w:marRight w:val="0"/>
      <w:marTop w:val="0"/>
      <w:marBottom w:val="0"/>
      <w:divBdr>
        <w:top w:val="none" w:sz="0" w:space="0" w:color="auto"/>
        <w:left w:val="none" w:sz="0" w:space="0" w:color="auto"/>
        <w:bottom w:val="none" w:sz="0" w:space="0" w:color="auto"/>
        <w:right w:val="none" w:sz="0" w:space="0" w:color="auto"/>
      </w:divBdr>
      <w:divsChild>
        <w:div w:id="62413384">
          <w:marLeft w:val="0"/>
          <w:marRight w:val="0"/>
          <w:marTop w:val="0"/>
          <w:marBottom w:val="0"/>
          <w:divBdr>
            <w:top w:val="none" w:sz="0" w:space="0" w:color="auto"/>
            <w:left w:val="none" w:sz="0" w:space="0" w:color="auto"/>
            <w:bottom w:val="none" w:sz="0" w:space="0" w:color="auto"/>
            <w:right w:val="none" w:sz="0" w:space="0" w:color="auto"/>
          </w:divBdr>
          <w:divsChild>
            <w:div w:id="529682428">
              <w:marLeft w:val="0"/>
              <w:marRight w:val="0"/>
              <w:marTop w:val="0"/>
              <w:marBottom w:val="0"/>
              <w:divBdr>
                <w:top w:val="none" w:sz="0" w:space="0" w:color="auto"/>
                <w:left w:val="none" w:sz="0" w:space="0" w:color="auto"/>
                <w:bottom w:val="none" w:sz="0" w:space="0" w:color="auto"/>
                <w:right w:val="none" w:sz="0" w:space="0" w:color="auto"/>
              </w:divBdr>
              <w:divsChild>
                <w:div w:id="70592329">
                  <w:marLeft w:val="0"/>
                  <w:marRight w:val="0"/>
                  <w:marTop w:val="0"/>
                  <w:marBottom w:val="0"/>
                  <w:divBdr>
                    <w:top w:val="none" w:sz="0" w:space="0" w:color="auto"/>
                    <w:left w:val="none" w:sz="0" w:space="0" w:color="auto"/>
                    <w:bottom w:val="none" w:sz="0" w:space="0" w:color="auto"/>
                    <w:right w:val="none" w:sz="0" w:space="0" w:color="auto"/>
                  </w:divBdr>
                  <w:divsChild>
                    <w:div w:id="14185576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5996">
      <w:bodyDiv w:val="1"/>
      <w:marLeft w:val="0"/>
      <w:marRight w:val="0"/>
      <w:marTop w:val="0"/>
      <w:marBottom w:val="0"/>
      <w:divBdr>
        <w:top w:val="none" w:sz="0" w:space="0" w:color="auto"/>
        <w:left w:val="none" w:sz="0" w:space="0" w:color="auto"/>
        <w:bottom w:val="none" w:sz="0" w:space="0" w:color="auto"/>
        <w:right w:val="none" w:sz="0" w:space="0" w:color="auto"/>
      </w:divBdr>
    </w:div>
    <w:div w:id="634137702">
      <w:bodyDiv w:val="1"/>
      <w:marLeft w:val="750"/>
      <w:marRight w:val="300"/>
      <w:marTop w:val="0"/>
      <w:marBottom w:val="0"/>
      <w:divBdr>
        <w:top w:val="none" w:sz="0" w:space="0" w:color="auto"/>
        <w:left w:val="none" w:sz="0" w:space="0" w:color="auto"/>
        <w:bottom w:val="none" w:sz="0" w:space="0" w:color="auto"/>
        <w:right w:val="none" w:sz="0" w:space="0" w:color="auto"/>
      </w:divBdr>
    </w:div>
    <w:div w:id="720521151">
      <w:bodyDiv w:val="1"/>
      <w:marLeft w:val="0"/>
      <w:marRight w:val="0"/>
      <w:marTop w:val="0"/>
      <w:marBottom w:val="0"/>
      <w:divBdr>
        <w:top w:val="none" w:sz="0" w:space="0" w:color="auto"/>
        <w:left w:val="none" w:sz="0" w:space="0" w:color="auto"/>
        <w:bottom w:val="none" w:sz="0" w:space="0" w:color="auto"/>
        <w:right w:val="none" w:sz="0" w:space="0" w:color="auto"/>
      </w:divBdr>
      <w:divsChild>
        <w:div w:id="1475030210">
          <w:marLeft w:val="0"/>
          <w:marRight w:val="0"/>
          <w:marTop w:val="0"/>
          <w:marBottom w:val="0"/>
          <w:divBdr>
            <w:top w:val="none" w:sz="0" w:space="0" w:color="auto"/>
            <w:left w:val="none" w:sz="0" w:space="0" w:color="auto"/>
            <w:bottom w:val="none" w:sz="0" w:space="0" w:color="auto"/>
            <w:right w:val="none" w:sz="0" w:space="0" w:color="auto"/>
          </w:divBdr>
          <w:divsChild>
            <w:div w:id="948438716">
              <w:marLeft w:val="0"/>
              <w:marRight w:val="0"/>
              <w:marTop w:val="0"/>
              <w:marBottom w:val="0"/>
              <w:divBdr>
                <w:top w:val="none" w:sz="0" w:space="0" w:color="auto"/>
                <w:left w:val="none" w:sz="0" w:space="0" w:color="auto"/>
                <w:bottom w:val="none" w:sz="0" w:space="0" w:color="auto"/>
                <w:right w:val="none" w:sz="0" w:space="0" w:color="auto"/>
              </w:divBdr>
              <w:divsChild>
                <w:div w:id="1555777512">
                  <w:marLeft w:val="0"/>
                  <w:marRight w:val="0"/>
                  <w:marTop w:val="0"/>
                  <w:marBottom w:val="0"/>
                  <w:divBdr>
                    <w:top w:val="none" w:sz="0" w:space="0" w:color="auto"/>
                    <w:left w:val="none" w:sz="0" w:space="0" w:color="auto"/>
                    <w:bottom w:val="none" w:sz="0" w:space="0" w:color="auto"/>
                    <w:right w:val="none" w:sz="0" w:space="0" w:color="auto"/>
                  </w:divBdr>
                  <w:divsChild>
                    <w:div w:id="1749695027">
                      <w:marLeft w:val="0"/>
                      <w:marRight w:val="0"/>
                      <w:marTop w:val="0"/>
                      <w:marBottom w:val="0"/>
                      <w:divBdr>
                        <w:top w:val="none" w:sz="0" w:space="0" w:color="auto"/>
                        <w:left w:val="none" w:sz="0" w:space="0" w:color="auto"/>
                        <w:bottom w:val="none" w:sz="0" w:space="0" w:color="auto"/>
                        <w:right w:val="none" w:sz="0" w:space="0" w:color="auto"/>
                      </w:divBdr>
                      <w:divsChild>
                        <w:div w:id="1116482903">
                          <w:marLeft w:val="0"/>
                          <w:marRight w:val="0"/>
                          <w:marTop w:val="0"/>
                          <w:marBottom w:val="0"/>
                          <w:divBdr>
                            <w:top w:val="none" w:sz="0" w:space="0" w:color="auto"/>
                            <w:left w:val="none" w:sz="0" w:space="0" w:color="auto"/>
                            <w:bottom w:val="none" w:sz="0" w:space="0" w:color="auto"/>
                            <w:right w:val="none" w:sz="0" w:space="0" w:color="auto"/>
                          </w:divBdr>
                          <w:divsChild>
                            <w:div w:id="2030140833">
                              <w:marLeft w:val="0"/>
                              <w:marRight w:val="0"/>
                              <w:marTop w:val="0"/>
                              <w:marBottom w:val="0"/>
                              <w:divBdr>
                                <w:top w:val="none" w:sz="0" w:space="0" w:color="auto"/>
                                <w:left w:val="none" w:sz="0" w:space="0" w:color="auto"/>
                                <w:bottom w:val="none" w:sz="0" w:space="0" w:color="auto"/>
                                <w:right w:val="none" w:sz="0" w:space="0" w:color="auto"/>
                              </w:divBdr>
                              <w:divsChild>
                                <w:div w:id="829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88214">
      <w:bodyDiv w:val="1"/>
      <w:marLeft w:val="0"/>
      <w:marRight w:val="0"/>
      <w:marTop w:val="0"/>
      <w:marBottom w:val="0"/>
      <w:divBdr>
        <w:top w:val="none" w:sz="0" w:space="0" w:color="auto"/>
        <w:left w:val="none" w:sz="0" w:space="0" w:color="auto"/>
        <w:bottom w:val="none" w:sz="0" w:space="0" w:color="auto"/>
        <w:right w:val="none" w:sz="0" w:space="0" w:color="auto"/>
      </w:divBdr>
      <w:divsChild>
        <w:div w:id="1063331500">
          <w:marLeft w:val="0"/>
          <w:marRight w:val="0"/>
          <w:marTop w:val="0"/>
          <w:marBottom w:val="0"/>
          <w:divBdr>
            <w:top w:val="none" w:sz="0" w:space="0" w:color="auto"/>
            <w:left w:val="none" w:sz="0" w:space="0" w:color="auto"/>
            <w:bottom w:val="none" w:sz="0" w:space="0" w:color="auto"/>
            <w:right w:val="none" w:sz="0" w:space="0" w:color="auto"/>
          </w:divBdr>
          <w:divsChild>
            <w:div w:id="2091805321">
              <w:marLeft w:val="0"/>
              <w:marRight w:val="0"/>
              <w:marTop w:val="0"/>
              <w:marBottom w:val="0"/>
              <w:divBdr>
                <w:top w:val="none" w:sz="0" w:space="0" w:color="auto"/>
                <w:left w:val="none" w:sz="0" w:space="0" w:color="auto"/>
                <w:bottom w:val="none" w:sz="0" w:space="0" w:color="auto"/>
                <w:right w:val="none" w:sz="0" w:space="0" w:color="auto"/>
              </w:divBdr>
              <w:divsChild>
                <w:div w:id="1039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4753">
      <w:bodyDiv w:val="1"/>
      <w:marLeft w:val="0"/>
      <w:marRight w:val="0"/>
      <w:marTop w:val="75"/>
      <w:marBottom w:val="75"/>
      <w:divBdr>
        <w:top w:val="none" w:sz="0" w:space="0" w:color="auto"/>
        <w:left w:val="none" w:sz="0" w:space="0" w:color="auto"/>
        <w:bottom w:val="none" w:sz="0" w:space="0" w:color="auto"/>
        <w:right w:val="none" w:sz="0" w:space="0" w:color="auto"/>
      </w:divBdr>
      <w:divsChild>
        <w:div w:id="203760143">
          <w:marLeft w:val="0"/>
          <w:marRight w:val="0"/>
          <w:marTop w:val="0"/>
          <w:marBottom w:val="0"/>
          <w:divBdr>
            <w:top w:val="single" w:sz="6" w:space="0" w:color="000066"/>
            <w:left w:val="single" w:sz="6" w:space="0" w:color="000066"/>
            <w:bottom w:val="single" w:sz="6" w:space="0" w:color="000066"/>
            <w:right w:val="single" w:sz="6" w:space="0" w:color="000066"/>
          </w:divBdr>
          <w:divsChild>
            <w:div w:id="1173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141">
      <w:bodyDiv w:val="1"/>
      <w:marLeft w:val="0"/>
      <w:marRight w:val="0"/>
      <w:marTop w:val="0"/>
      <w:marBottom w:val="0"/>
      <w:divBdr>
        <w:top w:val="none" w:sz="0" w:space="0" w:color="auto"/>
        <w:left w:val="none" w:sz="0" w:space="0" w:color="auto"/>
        <w:bottom w:val="none" w:sz="0" w:space="0" w:color="auto"/>
        <w:right w:val="none" w:sz="0" w:space="0" w:color="auto"/>
      </w:divBdr>
      <w:divsChild>
        <w:div w:id="1500266732">
          <w:marLeft w:val="0"/>
          <w:marRight w:val="0"/>
          <w:marTop w:val="0"/>
          <w:marBottom w:val="0"/>
          <w:divBdr>
            <w:top w:val="none" w:sz="0" w:space="0" w:color="auto"/>
            <w:left w:val="none" w:sz="0" w:space="0" w:color="auto"/>
            <w:bottom w:val="none" w:sz="0" w:space="0" w:color="auto"/>
            <w:right w:val="none" w:sz="0" w:space="0" w:color="auto"/>
          </w:divBdr>
          <w:divsChild>
            <w:div w:id="2025547195">
              <w:marLeft w:val="0"/>
              <w:marRight w:val="0"/>
              <w:marTop w:val="0"/>
              <w:marBottom w:val="0"/>
              <w:divBdr>
                <w:top w:val="none" w:sz="0" w:space="0" w:color="auto"/>
                <w:left w:val="none" w:sz="0" w:space="0" w:color="auto"/>
                <w:bottom w:val="none" w:sz="0" w:space="0" w:color="auto"/>
                <w:right w:val="none" w:sz="0" w:space="0" w:color="auto"/>
              </w:divBdr>
              <w:divsChild>
                <w:div w:id="1170415064">
                  <w:marLeft w:val="0"/>
                  <w:marRight w:val="0"/>
                  <w:marTop w:val="0"/>
                  <w:marBottom w:val="0"/>
                  <w:divBdr>
                    <w:top w:val="none" w:sz="0" w:space="0" w:color="auto"/>
                    <w:left w:val="none" w:sz="0" w:space="0" w:color="auto"/>
                    <w:bottom w:val="none" w:sz="0" w:space="0" w:color="auto"/>
                    <w:right w:val="none" w:sz="0" w:space="0" w:color="auto"/>
                  </w:divBdr>
                  <w:divsChild>
                    <w:div w:id="11505545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9542">
      <w:bodyDiv w:val="1"/>
      <w:marLeft w:val="0"/>
      <w:marRight w:val="0"/>
      <w:marTop w:val="0"/>
      <w:marBottom w:val="0"/>
      <w:divBdr>
        <w:top w:val="none" w:sz="0" w:space="0" w:color="auto"/>
        <w:left w:val="none" w:sz="0" w:space="0" w:color="auto"/>
        <w:bottom w:val="none" w:sz="0" w:space="0" w:color="auto"/>
        <w:right w:val="none" w:sz="0" w:space="0" w:color="auto"/>
      </w:divBdr>
      <w:divsChild>
        <w:div w:id="215167224">
          <w:marLeft w:val="0"/>
          <w:marRight w:val="0"/>
          <w:marTop w:val="0"/>
          <w:marBottom w:val="0"/>
          <w:divBdr>
            <w:top w:val="none" w:sz="0" w:space="0" w:color="auto"/>
            <w:left w:val="none" w:sz="0" w:space="0" w:color="auto"/>
            <w:bottom w:val="none" w:sz="0" w:space="0" w:color="auto"/>
            <w:right w:val="none" w:sz="0" w:space="0" w:color="auto"/>
          </w:divBdr>
          <w:divsChild>
            <w:div w:id="2116823280">
              <w:marLeft w:val="0"/>
              <w:marRight w:val="0"/>
              <w:marTop w:val="0"/>
              <w:marBottom w:val="0"/>
              <w:divBdr>
                <w:top w:val="none" w:sz="0" w:space="0" w:color="auto"/>
                <w:left w:val="none" w:sz="0" w:space="0" w:color="auto"/>
                <w:bottom w:val="none" w:sz="0" w:space="0" w:color="auto"/>
                <w:right w:val="none" w:sz="0" w:space="0" w:color="auto"/>
              </w:divBdr>
              <w:divsChild>
                <w:div w:id="1921913387">
                  <w:marLeft w:val="0"/>
                  <w:marRight w:val="0"/>
                  <w:marTop w:val="0"/>
                  <w:marBottom w:val="0"/>
                  <w:divBdr>
                    <w:top w:val="none" w:sz="0" w:space="0" w:color="auto"/>
                    <w:left w:val="none" w:sz="0" w:space="0" w:color="auto"/>
                    <w:bottom w:val="none" w:sz="0" w:space="0" w:color="auto"/>
                    <w:right w:val="none" w:sz="0" w:space="0" w:color="auto"/>
                  </w:divBdr>
                  <w:divsChild>
                    <w:div w:id="1179271659">
                      <w:marLeft w:val="0"/>
                      <w:marRight w:val="0"/>
                      <w:marTop w:val="0"/>
                      <w:marBottom w:val="0"/>
                      <w:divBdr>
                        <w:top w:val="none" w:sz="0" w:space="0" w:color="auto"/>
                        <w:left w:val="none" w:sz="0" w:space="0" w:color="auto"/>
                        <w:bottom w:val="none" w:sz="0" w:space="0" w:color="auto"/>
                        <w:right w:val="none" w:sz="0" w:space="0" w:color="auto"/>
                      </w:divBdr>
                      <w:divsChild>
                        <w:div w:id="116724796">
                          <w:marLeft w:val="0"/>
                          <w:marRight w:val="0"/>
                          <w:marTop w:val="0"/>
                          <w:marBottom w:val="0"/>
                          <w:divBdr>
                            <w:top w:val="none" w:sz="0" w:space="0" w:color="auto"/>
                            <w:left w:val="none" w:sz="0" w:space="0" w:color="auto"/>
                            <w:bottom w:val="none" w:sz="0" w:space="0" w:color="auto"/>
                            <w:right w:val="none" w:sz="0" w:space="0" w:color="auto"/>
                          </w:divBdr>
                          <w:divsChild>
                            <w:div w:id="1261841700">
                              <w:marLeft w:val="0"/>
                              <w:marRight w:val="0"/>
                              <w:marTop w:val="0"/>
                              <w:marBottom w:val="0"/>
                              <w:divBdr>
                                <w:top w:val="none" w:sz="0" w:space="0" w:color="auto"/>
                                <w:left w:val="none" w:sz="0" w:space="0" w:color="auto"/>
                                <w:bottom w:val="none" w:sz="0" w:space="0" w:color="auto"/>
                                <w:right w:val="none" w:sz="0" w:space="0" w:color="auto"/>
                              </w:divBdr>
                              <w:divsChild>
                                <w:div w:id="914970996">
                                  <w:marLeft w:val="0"/>
                                  <w:marRight w:val="0"/>
                                  <w:marTop w:val="0"/>
                                  <w:marBottom w:val="0"/>
                                  <w:divBdr>
                                    <w:top w:val="none" w:sz="0" w:space="0" w:color="auto"/>
                                    <w:left w:val="none" w:sz="0" w:space="0" w:color="auto"/>
                                    <w:bottom w:val="none" w:sz="0" w:space="0" w:color="auto"/>
                                    <w:right w:val="none" w:sz="0" w:space="0" w:color="auto"/>
                                  </w:divBdr>
                                </w:div>
                              </w:divsChild>
                            </w:div>
                            <w:div w:id="1647973274">
                              <w:marLeft w:val="0"/>
                              <w:marRight w:val="0"/>
                              <w:marTop w:val="60"/>
                              <w:marBottom w:val="150"/>
                              <w:divBdr>
                                <w:top w:val="none" w:sz="0" w:space="0" w:color="auto"/>
                                <w:left w:val="none" w:sz="0" w:space="0" w:color="auto"/>
                                <w:bottom w:val="none" w:sz="0" w:space="0" w:color="auto"/>
                                <w:right w:val="none" w:sz="0" w:space="0" w:color="auto"/>
                              </w:divBdr>
                              <w:divsChild>
                                <w:div w:id="128018778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506">
      <w:bodyDiv w:val="1"/>
      <w:marLeft w:val="0"/>
      <w:marRight w:val="0"/>
      <w:marTop w:val="0"/>
      <w:marBottom w:val="0"/>
      <w:divBdr>
        <w:top w:val="none" w:sz="0" w:space="0" w:color="auto"/>
        <w:left w:val="none" w:sz="0" w:space="0" w:color="auto"/>
        <w:bottom w:val="none" w:sz="0" w:space="0" w:color="auto"/>
        <w:right w:val="none" w:sz="0" w:space="0" w:color="auto"/>
      </w:divBdr>
      <w:divsChild>
        <w:div w:id="943263613">
          <w:marLeft w:val="0"/>
          <w:marRight w:val="0"/>
          <w:marTop w:val="0"/>
          <w:marBottom w:val="0"/>
          <w:divBdr>
            <w:top w:val="none" w:sz="0" w:space="0" w:color="auto"/>
            <w:left w:val="none" w:sz="0" w:space="0" w:color="auto"/>
            <w:bottom w:val="none" w:sz="0" w:space="0" w:color="auto"/>
            <w:right w:val="none" w:sz="0" w:space="0" w:color="auto"/>
          </w:divBdr>
          <w:divsChild>
            <w:div w:id="1326787045">
              <w:marLeft w:val="0"/>
              <w:marRight w:val="0"/>
              <w:marTop w:val="0"/>
              <w:marBottom w:val="0"/>
              <w:divBdr>
                <w:top w:val="none" w:sz="0" w:space="0" w:color="auto"/>
                <w:left w:val="none" w:sz="0" w:space="0" w:color="auto"/>
                <w:bottom w:val="none" w:sz="0" w:space="0" w:color="auto"/>
                <w:right w:val="none" w:sz="0" w:space="0" w:color="auto"/>
              </w:divBdr>
              <w:divsChild>
                <w:div w:id="27534724">
                  <w:marLeft w:val="0"/>
                  <w:marRight w:val="0"/>
                  <w:marTop w:val="0"/>
                  <w:marBottom w:val="0"/>
                  <w:divBdr>
                    <w:top w:val="none" w:sz="0" w:space="0" w:color="auto"/>
                    <w:left w:val="none" w:sz="0" w:space="0" w:color="auto"/>
                    <w:bottom w:val="none" w:sz="0" w:space="0" w:color="auto"/>
                    <w:right w:val="none" w:sz="0" w:space="0" w:color="auto"/>
                  </w:divBdr>
                  <w:divsChild>
                    <w:div w:id="17841799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4899">
      <w:bodyDiv w:val="1"/>
      <w:marLeft w:val="0"/>
      <w:marRight w:val="0"/>
      <w:marTop w:val="0"/>
      <w:marBottom w:val="0"/>
      <w:divBdr>
        <w:top w:val="none" w:sz="0" w:space="0" w:color="auto"/>
        <w:left w:val="none" w:sz="0" w:space="0" w:color="auto"/>
        <w:bottom w:val="none" w:sz="0" w:space="0" w:color="auto"/>
        <w:right w:val="none" w:sz="0" w:space="0" w:color="auto"/>
      </w:divBdr>
    </w:div>
    <w:div w:id="1199586449">
      <w:bodyDiv w:val="1"/>
      <w:marLeft w:val="0"/>
      <w:marRight w:val="0"/>
      <w:marTop w:val="0"/>
      <w:marBottom w:val="0"/>
      <w:divBdr>
        <w:top w:val="none" w:sz="0" w:space="0" w:color="auto"/>
        <w:left w:val="none" w:sz="0" w:space="0" w:color="auto"/>
        <w:bottom w:val="none" w:sz="0" w:space="0" w:color="auto"/>
        <w:right w:val="none" w:sz="0" w:space="0" w:color="auto"/>
      </w:divBdr>
      <w:divsChild>
        <w:div w:id="9842793">
          <w:marLeft w:val="0"/>
          <w:marRight w:val="0"/>
          <w:marTop w:val="0"/>
          <w:marBottom w:val="0"/>
          <w:divBdr>
            <w:top w:val="none" w:sz="0" w:space="0" w:color="auto"/>
            <w:left w:val="none" w:sz="0" w:space="0" w:color="auto"/>
            <w:bottom w:val="none" w:sz="0" w:space="0" w:color="auto"/>
            <w:right w:val="none" w:sz="0" w:space="0" w:color="auto"/>
          </w:divBdr>
          <w:divsChild>
            <w:div w:id="1742799408">
              <w:marLeft w:val="0"/>
              <w:marRight w:val="0"/>
              <w:marTop w:val="0"/>
              <w:marBottom w:val="0"/>
              <w:divBdr>
                <w:top w:val="none" w:sz="0" w:space="0" w:color="auto"/>
                <w:left w:val="none" w:sz="0" w:space="0" w:color="auto"/>
                <w:bottom w:val="none" w:sz="0" w:space="0" w:color="auto"/>
                <w:right w:val="none" w:sz="0" w:space="0" w:color="auto"/>
              </w:divBdr>
              <w:divsChild>
                <w:div w:id="426850054">
                  <w:marLeft w:val="0"/>
                  <w:marRight w:val="0"/>
                  <w:marTop w:val="0"/>
                  <w:marBottom w:val="0"/>
                  <w:divBdr>
                    <w:top w:val="none" w:sz="0" w:space="0" w:color="auto"/>
                    <w:left w:val="none" w:sz="0" w:space="0" w:color="auto"/>
                    <w:bottom w:val="none" w:sz="0" w:space="0" w:color="auto"/>
                    <w:right w:val="none" w:sz="0" w:space="0" w:color="auto"/>
                  </w:divBdr>
                  <w:divsChild>
                    <w:div w:id="10862447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448">
      <w:bodyDiv w:val="1"/>
      <w:marLeft w:val="0"/>
      <w:marRight w:val="0"/>
      <w:marTop w:val="0"/>
      <w:marBottom w:val="0"/>
      <w:divBdr>
        <w:top w:val="none" w:sz="0" w:space="0" w:color="auto"/>
        <w:left w:val="none" w:sz="0" w:space="0" w:color="auto"/>
        <w:bottom w:val="none" w:sz="0" w:space="0" w:color="auto"/>
        <w:right w:val="none" w:sz="0" w:space="0" w:color="auto"/>
      </w:divBdr>
    </w:div>
    <w:div w:id="1349136627">
      <w:bodyDiv w:val="1"/>
      <w:marLeft w:val="0"/>
      <w:marRight w:val="0"/>
      <w:marTop w:val="0"/>
      <w:marBottom w:val="0"/>
      <w:divBdr>
        <w:top w:val="none" w:sz="0" w:space="0" w:color="auto"/>
        <w:left w:val="none" w:sz="0" w:space="0" w:color="auto"/>
        <w:bottom w:val="none" w:sz="0" w:space="0" w:color="auto"/>
        <w:right w:val="none" w:sz="0" w:space="0" w:color="auto"/>
      </w:divBdr>
    </w:div>
    <w:div w:id="1381323894">
      <w:bodyDiv w:val="1"/>
      <w:marLeft w:val="0"/>
      <w:marRight w:val="0"/>
      <w:marTop w:val="0"/>
      <w:marBottom w:val="0"/>
      <w:divBdr>
        <w:top w:val="none" w:sz="0" w:space="0" w:color="auto"/>
        <w:left w:val="none" w:sz="0" w:space="0" w:color="auto"/>
        <w:bottom w:val="none" w:sz="0" w:space="0" w:color="auto"/>
        <w:right w:val="none" w:sz="0" w:space="0" w:color="auto"/>
      </w:divBdr>
      <w:divsChild>
        <w:div w:id="810294286">
          <w:marLeft w:val="0"/>
          <w:marRight w:val="0"/>
          <w:marTop w:val="0"/>
          <w:marBottom w:val="0"/>
          <w:divBdr>
            <w:top w:val="none" w:sz="0" w:space="0" w:color="auto"/>
            <w:left w:val="none" w:sz="0" w:space="0" w:color="auto"/>
            <w:bottom w:val="none" w:sz="0" w:space="0" w:color="auto"/>
            <w:right w:val="none" w:sz="0" w:space="0" w:color="auto"/>
          </w:divBdr>
          <w:divsChild>
            <w:div w:id="1604413769">
              <w:marLeft w:val="0"/>
              <w:marRight w:val="0"/>
              <w:marTop w:val="0"/>
              <w:marBottom w:val="0"/>
              <w:divBdr>
                <w:top w:val="none" w:sz="0" w:space="0" w:color="auto"/>
                <w:left w:val="none" w:sz="0" w:space="0" w:color="auto"/>
                <w:bottom w:val="none" w:sz="0" w:space="0" w:color="auto"/>
                <w:right w:val="none" w:sz="0" w:space="0" w:color="auto"/>
              </w:divBdr>
              <w:divsChild>
                <w:div w:id="1856655154">
                  <w:marLeft w:val="0"/>
                  <w:marRight w:val="0"/>
                  <w:marTop w:val="0"/>
                  <w:marBottom w:val="0"/>
                  <w:divBdr>
                    <w:top w:val="none" w:sz="0" w:space="0" w:color="auto"/>
                    <w:left w:val="none" w:sz="0" w:space="0" w:color="auto"/>
                    <w:bottom w:val="none" w:sz="0" w:space="0" w:color="auto"/>
                    <w:right w:val="none" w:sz="0" w:space="0" w:color="auto"/>
                  </w:divBdr>
                  <w:divsChild>
                    <w:div w:id="183487988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043">
      <w:bodyDiv w:val="1"/>
      <w:marLeft w:val="0"/>
      <w:marRight w:val="0"/>
      <w:marTop w:val="0"/>
      <w:marBottom w:val="0"/>
      <w:divBdr>
        <w:top w:val="none" w:sz="0" w:space="0" w:color="auto"/>
        <w:left w:val="none" w:sz="0" w:space="0" w:color="auto"/>
        <w:bottom w:val="none" w:sz="0" w:space="0" w:color="auto"/>
        <w:right w:val="none" w:sz="0" w:space="0" w:color="auto"/>
      </w:divBdr>
      <w:divsChild>
        <w:div w:id="217009500">
          <w:marLeft w:val="0"/>
          <w:marRight w:val="0"/>
          <w:marTop w:val="0"/>
          <w:marBottom w:val="0"/>
          <w:divBdr>
            <w:top w:val="none" w:sz="0" w:space="0" w:color="auto"/>
            <w:left w:val="none" w:sz="0" w:space="0" w:color="auto"/>
            <w:bottom w:val="none" w:sz="0" w:space="0" w:color="auto"/>
            <w:right w:val="none" w:sz="0" w:space="0" w:color="auto"/>
          </w:divBdr>
          <w:divsChild>
            <w:div w:id="302932729">
              <w:marLeft w:val="0"/>
              <w:marRight w:val="0"/>
              <w:marTop w:val="0"/>
              <w:marBottom w:val="0"/>
              <w:divBdr>
                <w:top w:val="none" w:sz="0" w:space="0" w:color="auto"/>
                <w:left w:val="none" w:sz="0" w:space="0" w:color="auto"/>
                <w:bottom w:val="none" w:sz="0" w:space="0" w:color="auto"/>
                <w:right w:val="none" w:sz="0" w:space="0" w:color="auto"/>
              </w:divBdr>
              <w:divsChild>
                <w:div w:id="891649043">
                  <w:marLeft w:val="0"/>
                  <w:marRight w:val="0"/>
                  <w:marTop w:val="0"/>
                  <w:marBottom w:val="0"/>
                  <w:divBdr>
                    <w:top w:val="none" w:sz="0" w:space="0" w:color="auto"/>
                    <w:left w:val="none" w:sz="0" w:space="0" w:color="auto"/>
                    <w:bottom w:val="none" w:sz="0" w:space="0" w:color="auto"/>
                    <w:right w:val="none" w:sz="0" w:space="0" w:color="auto"/>
                  </w:divBdr>
                  <w:divsChild>
                    <w:div w:id="184011983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59375">
      <w:bodyDiv w:val="1"/>
      <w:marLeft w:val="0"/>
      <w:marRight w:val="0"/>
      <w:marTop w:val="0"/>
      <w:marBottom w:val="0"/>
      <w:divBdr>
        <w:top w:val="none" w:sz="0" w:space="0" w:color="auto"/>
        <w:left w:val="none" w:sz="0" w:space="0" w:color="auto"/>
        <w:bottom w:val="none" w:sz="0" w:space="0" w:color="auto"/>
        <w:right w:val="none" w:sz="0" w:space="0" w:color="auto"/>
      </w:divBdr>
    </w:div>
    <w:div w:id="1611354787">
      <w:bodyDiv w:val="1"/>
      <w:marLeft w:val="0"/>
      <w:marRight w:val="0"/>
      <w:marTop w:val="0"/>
      <w:marBottom w:val="0"/>
      <w:divBdr>
        <w:top w:val="none" w:sz="0" w:space="0" w:color="auto"/>
        <w:left w:val="none" w:sz="0" w:space="0" w:color="auto"/>
        <w:bottom w:val="none" w:sz="0" w:space="0" w:color="auto"/>
        <w:right w:val="none" w:sz="0" w:space="0" w:color="auto"/>
      </w:divBdr>
      <w:divsChild>
        <w:div w:id="17700831">
          <w:marLeft w:val="0"/>
          <w:marRight w:val="0"/>
          <w:marTop w:val="0"/>
          <w:marBottom w:val="0"/>
          <w:divBdr>
            <w:top w:val="none" w:sz="0" w:space="0" w:color="auto"/>
            <w:left w:val="none" w:sz="0" w:space="0" w:color="auto"/>
            <w:bottom w:val="none" w:sz="0" w:space="0" w:color="auto"/>
            <w:right w:val="none" w:sz="0" w:space="0" w:color="auto"/>
          </w:divBdr>
          <w:divsChild>
            <w:div w:id="958491519">
              <w:marLeft w:val="0"/>
              <w:marRight w:val="0"/>
              <w:marTop w:val="0"/>
              <w:marBottom w:val="0"/>
              <w:divBdr>
                <w:top w:val="none" w:sz="0" w:space="0" w:color="auto"/>
                <w:left w:val="none" w:sz="0" w:space="0" w:color="auto"/>
                <w:bottom w:val="none" w:sz="0" w:space="0" w:color="auto"/>
                <w:right w:val="none" w:sz="0" w:space="0" w:color="auto"/>
              </w:divBdr>
              <w:divsChild>
                <w:div w:id="597980013">
                  <w:marLeft w:val="0"/>
                  <w:marRight w:val="0"/>
                  <w:marTop w:val="0"/>
                  <w:marBottom w:val="0"/>
                  <w:divBdr>
                    <w:top w:val="none" w:sz="0" w:space="0" w:color="auto"/>
                    <w:left w:val="none" w:sz="0" w:space="0" w:color="auto"/>
                    <w:bottom w:val="none" w:sz="0" w:space="0" w:color="auto"/>
                    <w:right w:val="none" w:sz="0" w:space="0" w:color="auto"/>
                  </w:divBdr>
                  <w:divsChild>
                    <w:div w:id="138544549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160">
      <w:bodyDiv w:val="1"/>
      <w:marLeft w:val="0"/>
      <w:marRight w:val="0"/>
      <w:marTop w:val="0"/>
      <w:marBottom w:val="0"/>
      <w:divBdr>
        <w:top w:val="none" w:sz="0" w:space="0" w:color="auto"/>
        <w:left w:val="none" w:sz="0" w:space="0" w:color="auto"/>
        <w:bottom w:val="none" w:sz="0" w:space="0" w:color="auto"/>
        <w:right w:val="none" w:sz="0" w:space="0" w:color="auto"/>
      </w:divBdr>
    </w:div>
    <w:div w:id="1862620704">
      <w:bodyDiv w:val="1"/>
      <w:marLeft w:val="0"/>
      <w:marRight w:val="0"/>
      <w:marTop w:val="0"/>
      <w:marBottom w:val="0"/>
      <w:divBdr>
        <w:top w:val="none" w:sz="0" w:space="0" w:color="auto"/>
        <w:left w:val="none" w:sz="0" w:space="0" w:color="auto"/>
        <w:bottom w:val="none" w:sz="0" w:space="0" w:color="auto"/>
        <w:right w:val="none" w:sz="0" w:space="0" w:color="auto"/>
      </w:divBdr>
    </w:div>
    <w:div w:id="1866747412">
      <w:bodyDiv w:val="1"/>
      <w:marLeft w:val="0"/>
      <w:marRight w:val="0"/>
      <w:marTop w:val="0"/>
      <w:marBottom w:val="0"/>
      <w:divBdr>
        <w:top w:val="none" w:sz="0" w:space="0" w:color="auto"/>
        <w:left w:val="none" w:sz="0" w:space="0" w:color="auto"/>
        <w:bottom w:val="none" w:sz="0" w:space="0" w:color="auto"/>
        <w:right w:val="none" w:sz="0" w:space="0" w:color="auto"/>
      </w:divBdr>
      <w:divsChild>
        <w:div w:id="1497921594">
          <w:marLeft w:val="0"/>
          <w:marRight w:val="0"/>
          <w:marTop w:val="0"/>
          <w:marBottom w:val="0"/>
          <w:divBdr>
            <w:top w:val="none" w:sz="0" w:space="0" w:color="auto"/>
            <w:left w:val="none" w:sz="0" w:space="0" w:color="auto"/>
            <w:bottom w:val="none" w:sz="0" w:space="0" w:color="auto"/>
            <w:right w:val="none" w:sz="0" w:space="0" w:color="auto"/>
          </w:divBdr>
          <w:divsChild>
            <w:div w:id="1665667005">
              <w:marLeft w:val="0"/>
              <w:marRight w:val="0"/>
              <w:marTop w:val="0"/>
              <w:marBottom w:val="0"/>
              <w:divBdr>
                <w:top w:val="none" w:sz="0" w:space="0" w:color="auto"/>
                <w:left w:val="none" w:sz="0" w:space="0" w:color="auto"/>
                <w:bottom w:val="none" w:sz="0" w:space="0" w:color="auto"/>
                <w:right w:val="none" w:sz="0" w:space="0" w:color="auto"/>
              </w:divBdr>
              <w:divsChild>
                <w:div w:id="139154067">
                  <w:marLeft w:val="0"/>
                  <w:marRight w:val="0"/>
                  <w:marTop w:val="0"/>
                  <w:marBottom w:val="0"/>
                  <w:divBdr>
                    <w:top w:val="none" w:sz="0" w:space="0" w:color="auto"/>
                    <w:left w:val="none" w:sz="0" w:space="0" w:color="auto"/>
                    <w:bottom w:val="none" w:sz="0" w:space="0" w:color="auto"/>
                    <w:right w:val="none" w:sz="0" w:space="0" w:color="auto"/>
                  </w:divBdr>
                  <w:divsChild>
                    <w:div w:id="8845623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23578">
      <w:bodyDiv w:val="1"/>
      <w:marLeft w:val="0"/>
      <w:marRight w:val="0"/>
      <w:marTop w:val="0"/>
      <w:marBottom w:val="0"/>
      <w:divBdr>
        <w:top w:val="none" w:sz="0" w:space="0" w:color="auto"/>
        <w:left w:val="none" w:sz="0" w:space="0" w:color="auto"/>
        <w:bottom w:val="none" w:sz="0" w:space="0" w:color="auto"/>
        <w:right w:val="none" w:sz="0" w:space="0" w:color="auto"/>
      </w:divBdr>
      <w:divsChild>
        <w:div w:id="1857696545">
          <w:marLeft w:val="0"/>
          <w:marRight w:val="0"/>
          <w:marTop w:val="0"/>
          <w:marBottom w:val="0"/>
          <w:divBdr>
            <w:top w:val="none" w:sz="0" w:space="0" w:color="auto"/>
            <w:left w:val="none" w:sz="0" w:space="0" w:color="auto"/>
            <w:bottom w:val="none" w:sz="0" w:space="0" w:color="auto"/>
            <w:right w:val="none" w:sz="0" w:space="0" w:color="auto"/>
          </w:divBdr>
          <w:divsChild>
            <w:div w:id="956958056">
              <w:marLeft w:val="0"/>
              <w:marRight w:val="0"/>
              <w:marTop w:val="0"/>
              <w:marBottom w:val="0"/>
              <w:divBdr>
                <w:top w:val="none" w:sz="0" w:space="0" w:color="auto"/>
                <w:left w:val="none" w:sz="0" w:space="0" w:color="auto"/>
                <w:bottom w:val="none" w:sz="0" w:space="0" w:color="auto"/>
                <w:right w:val="none" w:sz="0" w:space="0" w:color="auto"/>
              </w:divBdr>
              <w:divsChild>
                <w:div w:id="55711907">
                  <w:marLeft w:val="0"/>
                  <w:marRight w:val="0"/>
                  <w:marTop w:val="0"/>
                  <w:marBottom w:val="0"/>
                  <w:divBdr>
                    <w:top w:val="none" w:sz="0" w:space="0" w:color="auto"/>
                    <w:left w:val="none" w:sz="0" w:space="0" w:color="auto"/>
                    <w:bottom w:val="none" w:sz="0" w:space="0" w:color="auto"/>
                    <w:right w:val="none" w:sz="0" w:space="0" w:color="auto"/>
                  </w:divBdr>
                  <w:divsChild>
                    <w:div w:id="122941875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newsreleases/epa-determines-risks-hardrock-mining-industry-minimal-and-no-need-additional-federal" TargetMode="External"/><Relationship Id="rId13" Type="http://schemas.openxmlformats.org/officeDocument/2006/relationships/hyperlink" Target="https://naturalresources.house.gov/UploadedFiles/Memo_--_Leg_Hrg_H.R._520.pdf" TargetMode="External"/><Relationship Id="rId18" Type="http://schemas.openxmlformats.org/officeDocument/2006/relationships/hyperlink" Target="https://www.federalregister.gov/documents/2018/02/08/2018-02548/assignment-and-application-of-the-unique-identifier-under-the-toxic-substances-control-act" TargetMode="External"/><Relationship Id="rId26" Type="http://schemas.openxmlformats.org/officeDocument/2006/relationships/hyperlink" Target="http://www.miit.gov.cn/n1146295/n1652858/n1652930/n4509607/c6086973/part/6087074.pdf"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dtsc.ca.gov/SCP/PriorityProductWorkPlan.cf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aturalresources.house.gov/calendar/eventsingle.aspx?EventID=403927" TargetMode="External"/><Relationship Id="rId17" Type="http://schemas.openxmlformats.org/officeDocument/2006/relationships/hyperlink" Target="https://www.epa.gov/assessing-and-managing-chemicals-under-tsca/2018-annual-report-risk-evaluations" TargetMode="External"/><Relationship Id="rId25" Type="http://schemas.openxmlformats.org/officeDocument/2006/relationships/hyperlink" Target="http://www.miit.gov.cn/n1146295/n1652858/n1652930/n4509607/c6086973/part/6087073.pdf" TargetMode="External"/><Relationship Id="rId33" Type="http://schemas.openxmlformats.org/officeDocument/2006/relationships/hyperlink" Target="mailto:chutton@lawbc.com"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naturalresources.house.gov/UploadedFiles/Hearing_Memo_--_EMR_Ov_Hrg_03.15.18.pdf" TargetMode="External"/><Relationship Id="rId20" Type="http://schemas.openxmlformats.org/officeDocument/2006/relationships/hyperlink" Target="http://www.lawbc.com/regulatory-developments/entry/administrator-pruitt-signs-tsca-user-fee-proposal" TargetMode="External"/><Relationship Id="rId29" Type="http://schemas.openxmlformats.org/officeDocument/2006/relationships/hyperlink" Target="http://www.actagroup.com/uploads/docs/00162853.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sites/production/files/2018-01/documents/2016_trina_webinar.pdf" TargetMode="External"/><Relationship Id="rId24" Type="http://schemas.openxmlformats.org/officeDocument/2006/relationships/hyperlink" Target="http://www.miit.gov.cn/n1146295/n1652858/n1652930/n4509607/c6086973/content.html" TargetMode="External"/><Relationship Id="rId32" Type="http://schemas.openxmlformats.org/officeDocument/2006/relationships/hyperlink" Target="mailto:lbergeson@lawbc.co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turalresources.house.gov/calendar/eventsingle.aspx?EventID=404154" TargetMode="External"/><Relationship Id="rId23" Type="http://schemas.openxmlformats.org/officeDocument/2006/relationships/hyperlink" Target="http://www.health.state.mn.us/divs/healthimprovement/content/documents-tracking/Panel/2018februarymaterials.pdf" TargetMode="External"/><Relationship Id="rId28" Type="http://schemas.openxmlformats.org/officeDocument/2006/relationships/hyperlink" Target="http://www.me.go.kr/home/web/board/read.do?boardMasterId=1&amp;boardId=847750&amp;menuId=286" TargetMode="External"/><Relationship Id="rId36" Type="http://schemas.openxmlformats.org/officeDocument/2006/relationships/footer" Target="footer1.xml"/><Relationship Id="rId10" Type="http://schemas.openxmlformats.org/officeDocument/2006/relationships/hyperlink" Target="https://www.epa.gov/newsreleases/epa-publishes-annual-toxics-release-inventory-report-and-analysis" TargetMode="External"/><Relationship Id="rId19" Type="http://schemas.openxmlformats.org/officeDocument/2006/relationships/hyperlink" Target="https://www.gpo.gov/fdsys/pkg/FR-2018-02-26/html/2018-02928.htm" TargetMode="External"/><Relationship Id="rId31" Type="http://schemas.openxmlformats.org/officeDocument/2006/relationships/hyperlink" Target="https://www.bsmi.gov.tw/wSite/public/Data/f1517887963846.pdf" TargetMode="External"/><Relationship Id="rId4" Type="http://schemas.openxmlformats.org/officeDocument/2006/relationships/settings" Target="settings.xml"/><Relationship Id="rId9" Type="http://schemas.openxmlformats.org/officeDocument/2006/relationships/hyperlink" Target="https://www.federalregister.gov/documents/2018/02/21/2017-26514/financial-responsibility-requirements-under-cercla-section-108b-for-classes-of-facilities-in-the" TargetMode="External"/><Relationship Id="rId14" Type="http://schemas.openxmlformats.org/officeDocument/2006/relationships/hyperlink" Target="https://www.msha.gov/asst-sec-zatezalo-oped-%E2%80%93-collecting-mine-safety-fines" TargetMode="External"/><Relationship Id="rId22" Type="http://schemas.openxmlformats.org/officeDocument/2006/relationships/hyperlink" Target="https://www.asyousow.org/press-releases/2018/2/14/court-establishes-guidelines-for-chocolate-sold-in-california" TargetMode="External"/><Relationship Id="rId27" Type="http://schemas.openxmlformats.org/officeDocument/2006/relationships/hyperlink" Target="http://opinion.lawmaking.go.kr/gcom/ogLmPp/43353?cptOfiOrgCd=1492000" TargetMode="External"/><Relationship Id="rId30" Type="http://schemas.openxmlformats.org/officeDocument/2006/relationships/hyperlink" Target="http://www.lawbc.com/regulatory-developments/entry/k-reach-amendments-expected-to-be-promulgated-shortly-and-be-enforced-janua"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EBD95-83C8-4AE6-94B3-CDEEC4DC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4566</Words>
  <Characters>28312</Characters>
  <Application>Microsoft Office Word</Application>
  <DocSecurity>4</DocSecurity>
  <PresentationFormat/>
  <Lines>235</Lines>
  <Paragraphs>65</Paragraphs>
  <ScaleCrop>false</ScaleCrop>
  <HeadingPairs>
    <vt:vector size="2" baseType="variant">
      <vt:variant>
        <vt:lpstr>Title</vt:lpstr>
      </vt:variant>
      <vt:variant>
        <vt:i4>1</vt:i4>
      </vt:variant>
    </vt:vector>
  </HeadingPairs>
  <TitlesOfParts>
    <vt:vector size="1" baseType="lpstr">
      <vt:lpstr>March 2018 Update (00237267).DOCX</vt:lpstr>
    </vt:vector>
  </TitlesOfParts>
  <Company>Bergeson &amp; Campbell, P.C.</Company>
  <LinksUpToDate>false</LinksUpToDate>
  <CharactersWithSpaces>32813</CharactersWithSpaces>
  <SharedDoc>false</SharedDoc>
  <HLinks>
    <vt:vector size="162" baseType="variant">
      <vt:variant>
        <vt:i4>1572923</vt:i4>
      </vt:variant>
      <vt:variant>
        <vt:i4>78</vt:i4>
      </vt:variant>
      <vt:variant>
        <vt:i4>0</vt:i4>
      </vt:variant>
      <vt:variant>
        <vt:i4>5</vt:i4>
      </vt:variant>
      <vt:variant>
        <vt:lpwstr>mailto:chutton@lawbc.com</vt:lpwstr>
      </vt:variant>
      <vt:variant>
        <vt:lpwstr/>
      </vt:variant>
      <vt:variant>
        <vt:i4>6750290</vt:i4>
      </vt:variant>
      <vt:variant>
        <vt:i4>75</vt:i4>
      </vt:variant>
      <vt:variant>
        <vt:i4>0</vt:i4>
      </vt:variant>
      <vt:variant>
        <vt:i4>5</vt:i4>
      </vt:variant>
      <vt:variant>
        <vt:lpwstr>mailto:lbergeson@lawbc.com</vt:lpwstr>
      </vt:variant>
      <vt:variant>
        <vt:lpwstr/>
      </vt:variant>
      <vt:variant>
        <vt:i4>3538996</vt:i4>
      </vt:variant>
      <vt:variant>
        <vt:i4>72</vt:i4>
      </vt:variant>
      <vt:variant>
        <vt:i4>0</vt:i4>
      </vt:variant>
      <vt:variant>
        <vt:i4>5</vt:i4>
      </vt:variant>
      <vt:variant>
        <vt:lpwstr>http://www.gazette.gc.ca/rp-pr/p1/2013/2013-05-25/html/notice-avis-eng.html</vt:lpwstr>
      </vt:variant>
      <vt:variant>
        <vt:lpwstr>d101</vt:lpwstr>
      </vt:variant>
      <vt:variant>
        <vt:i4>1048585</vt:i4>
      </vt:variant>
      <vt:variant>
        <vt:i4>69</vt:i4>
      </vt:variant>
      <vt:variant>
        <vt:i4>0</vt:i4>
      </vt:variant>
      <vt:variant>
        <vt:i4>5</vt:i4>
      </vt:variant>
      <vt:variant>
        <vt:lpwstr>http://www.inspection.gc.ca/about-the-cfia/newsroom/news-releases/2013-05-23/eng/1369240438603/1369240446635</vt:lpwstr>
      </vt:variant>
      <vt:variant>
        <vt:lpwstr/>
      </vt:variant>
      <vt:variant>
        <vt:i4>8192048</vt:i4>
      </vt:variant>
      <vt:variant>
        <vt:i4>66</vt:i4>
      </vt:variant>
      <vt:variant>
        <vt:i4>0</vt:i4>
      </vt:variant>
      <vt:variant>
        <vt:i4>5</vt:i4>
      </vt:variant>
      <vt:variant>
        <vt:lpwstr>http://www.hc-sc.gc.ca/ewh-semt/pubs/contaminants/chms-ecms-cycle2/overview-vue-eng.php</vt:lpwstr>
      </vt:variant>
      <vt:variant>
        <vt:lpwstr/>
      </vt:variant>
      <vt:variant>
        <vt:i4>2359342</vt:i4>
      </vt:variant>
      <vt:variant>
        <vt:i4>63</vt:i4>
      </vt:variant>
      <vt:variant>
        <vt:i4>0</vt:i4>
      </vt:variant>
      <vt:variant>
        <vt:i4>5</vt:i4>
      </vt:variant>
      <vt:variant>
        <vt:lpwstr>http://www.foodsentry.org/preliminary-analysis-of-international-food-safety-violations/</vt:lpwstr>
      </vt:variant>
      <vt:variant>
        <vt:lpwstr/>
      </vt:variant>
      <vt:variant>
        <vt:i4>6291492</vt:i4>
      </vt:variant>
      <vt:variant>
        <vt:i4>60</vt:i4>
      </vt:variant>
      <vt:variant>
        <vt:i4>0</vt:i4>
      </vt:variant>
      <vt:variant>
        <vt:i4>5</vt:i4>
      </vt:variant>
      <vt:variant>
        <vt:lpwstr>http://mindthestore.saferchemicals.org/</vt:lpwstr>
      </vt:variant>
      <vt:variant>
        <vt:lpwstr/>
      </vt:variant>
      <vt:variant>
        <vt:i4>4718670</vt:i4>
      </vt:variant>
      <vt:variant>
        <vt:i4>57</vt:i4>
      </vt:variant>
      <vt:variant>
        <vt:i4>0</vt:i4>
      </vt:variant>
      <vt:variant>
        <vt:i4>5</vt:i4>
      </vt:variant>
      <vt:variant>
        <vt:lpwstr>http://www8.nationalacademies.org/cp/meetingview.aspx?MeetingID=6608&amp;MeetingNo=12</vt:lpwstr>
      </vt:variant>
      <vt:variant>
        <vt:lpwstr/>
      </vt:variant>
      <vt:variant>
        <vt:i4>3866674</vt:i4>
      </vt:variant>
      <vt:variant>
        <vt:i4>54</vt:i4>
      </vt:variant>
      <vt:variant>
        <vt:i4>0</vt:i4>
      </vt:variant>
      <vt:variant>
        <vt:i4>5</vt:i4>
      </vt:variant>
      <vt:variant>
        <vt:lpwstr>http://www.epa.gov/iris/publicmeeting/</vt:lpwstr>
      </vt:variant>
      <vt:variant>
        <vt:lpwstr/>
      </vt:variant>
      <vt:variant>
        <vt:i4>4522011</vt:i4>
      </vt:variant>
      <vt:variant>
        <vt:i4>51</vt:i4>
      </vt:variant>
      <vt:variant>
        <vt:i4>0</vt:i4>
      </vt:variant>
      <vt:variant>
        <vt:i4>5</vt:i4>
      </vt:variant>
      <vt:variant>
        <vt:lpwstr>http://yosemite.epa.gov/sab/sabproduct.nsf/a84bfee16cc358ad85256ccd006b0b4b/1363eb27571284ed85257b0f0062f32b!OpenDocument&amp;Date=2013-04-02</vt:lpwstr>
      </vt:variant>
      <vt:variant>
        <vt:lpwstr/>
      </vt:variant>
      <vt:variant>
        <vt:i4>4849757</vt:i4>
      </vt:variant>
      <vt:variant>
        <vt:i4>48</vt:i4>
      </vt:variant>
      <vt:variant>
        <vt:i4>0</vt:i4>
      </vt:variant>
      <vt:variant>
        <vt:i4>5</vt:i4>
      </vt:variant>
      <vt:variant>
        <vt:lpwstr>http://www.watoxics.org/chemicalsrevealed</vt:lpwstr>
      </vt:variant>
      <vt:variant>
        <vt:lpwstr/>
      </vt:variant>
      <vt:variant>
        <vt:i4>2687083</vt:i4>
      </vt:variant>
      <vt:variant>
        <vt:i4>45</vt:i4>
      </vt:variant>
      <vt:variant>
        <vt:i4>0</vt:i4>
      </vt:variant>
      <vt:variant>
        <vt:i4>5</vt:i4>
      </vt:variant>
      <vt:variant>
        <vt:lpwstr>http://daq.state.nc.us/toxics/risk/sab/</vt:lpwstr>
      </vt:variant>
      <vt:variant>
        <vt:lpwstr/>
      </vt:variant>
      <vt:variant>
        <vt:i4>5242923</vt:i4>
      </vt:variant>
      <vt:variant>
        <vt:i4>42</vt:i4>
      </vt:variant>
      <vt:variant>
        <vt:i4>0</vt:i4>
      </vt:variant>
      <vt:variant>
        <vt:i4>5</vt:i4>
      </vt:variant>
      <vt:variant>
        <vt:lpwstr>http://daq.state.nc.us/toxics/risk/sab/sab_proceedings.shtml</vt:lpwstr>
      </vt:variant>
      <vt:variant>
        <vt:lpwstr/>
      </vt:variant>
      <vt:variant>
        <vt:i4>720911</vt:i4>
      </vt:variant>
      <vt:variant>
        <vt:i4>39</vt:i4>
      </vt:variant>
      <vt:variant>
        <vt:i4>0</vt:i4>
      </vt:variant>
      <vt:variant>
        <vt:i4>5</vt:i4>
      </vt:variant>
      <vt:variant>
        <vt:lpwstr>http://www.nysenate.gov/press-release/senate-passes-bill-protect-children-jewelry-made-harmful-metals</vt:lpwstr>
      </vt:variant>
      <vt:variant>
        <vt:lpwstr/>
      </vt:variant>
      <vt:variant>
        <vt:i4>4980786</vt:i4>
      </vt:variant>
      <vt:variant>
        <vt:i4>36</vt:i4>
      </vt:variant>
      <vt:variant>
        <vt:i4>0</vt:i4>
      </vt:variant>
      <vt:variant>
        <vt:i4>5</vt:i4>
      </vt:variant>
      <vt:variant>
        <vt:lpwstr>http://www.michigan.gov/documents/lara/MR1_020113_410118_7.pdf</vt:lpwstr>
      </vt:variant>
      <vt:variant>
        <vt:lpwstr/>
      </vt:variant>
      <vt:variant>
        <vt:i4>5963862</vt:i4>
      </vt:variant>
      <vt:variant>
        <vt:i4>33</vt:i4>
      </vt:variant>
      <vt:variant>
        <vt:i4>0</vt:i4>
      </vt:variant>
      <vt:variant>
        <vt:i4>5</vt:i4>
      </vt:variant>
      <vt:variant>
        <vt:lpwstr>http://www.malegislature.gov/Events/EventDetail?eventId=605&amp;eventDataSource=Hearings</vt:lpwstr>
      </vt:variant>
      <vt:variant>
        <vt:lpwstr/>
      </vt:variant>
      <vt:variant>
        <vt:i4>458828</vt:i4>
      </vt:variant>
      <vt:variant>
        <vt:i4>30</vt:i4>
      </vt:variant>
      <vt:variant>
        <vt:i4>0</vt:i4>
      </vt:variant>
      <vt:variant>
        <vt:i4>5</vt:i4>
      </vt:variant>
      <vt:variant>
        <vt:lpwstr>http://www.dnrec.delaware.gov/whs/awm/Info/Regs/Pages/AmendSection10.aspx</vt:lpwstr>
      </vt:variant>
      <vt:variant>
        <vt:lpwstr/>
      </vt:variant>
      <vt:variant>
        <vt:i4>262153</vt:i4>
      </vt:variant>
      <vt:variant>
        <vt:i4>27</vt:i4>
      </vt:variant>
      <vt:variant>
        <vt:i4>0</vt:i4>
      </vt:variant>
      <vt:variant>
        <vt:i4>5</vt:i4>
      </vt:variant>
      <vt:variant>
        <vt:lpwstr>http://www.dtsc.ca.gov/LawsRegsPolicies/Regs/SCPA.cfm</vt:lpwstr>
      </vt:variant>
      <vt:variant>
        <vt:lpwstr/>
      </vt:variant>
      <vt:variant>
        <vt:i4>6226011</vt:i4>
      </vt:variant>
      <vt:variant>
        <vt:i4>24</vt:i4>
      </vt:variant>
      <vt:variant>
        <vt:i4>0</vt:i4>
      </vt:variant>
      <vt:variant>
        <vt:i4>5</vt:i4>
      </vt:variant>
      <vt:variant>
        <vt:lpwstr>http://www.dtsc.ca.gov/SCPRegulations.cfm</vt:lpwstr>
      </vt:variant>
      <vt:variant>
        <vt:lpwstr/>
      </vt:variant>
      <vt:variant>
        <vt:i4>3604584</vt:i4>
      </vt:variant>
      <vt:variant>
        <vt:i4>21</vt:i4>
      </vt:variant>
      <vt:variant>
        <vt:i4>0</vt:i4>
      </vt:variant>
      <vt:variant>
        <vt:i4>5</vt:i4>
      </vt:variant>
      <vt:variant>
        <vt:lpwstr>http://www.lawbc.com/regulatory-developments/entry/dtsc-releases-revised-proposed-safer-consumer-products-regulations1</vt:lpwstr>
      </vt:variant>
      <vt:variant>
        <vt:lpwstr/>
      </vt:variant>
      <vt:variant>
        <vt:i4>7536683</vt:i4>
      </vt:variant>
      <vt:variant>
        <vt:i4>18</vt:i4>
      </vt:variant>
      <vt:variant>
        <vt:i4>0</vt:i4>
      </vt:variant>
      <vt:variant>
        <vt:i4>5</vt:i4>
      </vt:variant>
      <vt:variant>
        <vt:lpwstr>http://www.lawbc.com/regulatory-developments/entry/the-chemical-safety-improvement-act-an-in-depth-review-and-analysis</vt:lpwstr>
      </vt:variant>
      <vt:variant>
        <vt:lpwstr/>
      </vt:variant>
      <vt:variant>
        <vt:i4>3866749</vt:i4>
      </vt:variant>
      <vt:variant>
        <vt:i4>15</vt:i4>
      </vt:variant>
      <vt:variant>
        <vt:i4>0</vt:i4>
      </vt:variant>
      <vt:variant>
        <vt:i4>5</vt:i4>
      </vt:variant>
      <vt:variant>
        <vt:lpwstr>http://www.lautenberg.senate.gov/newsroom/record.cfm?id=342861&amp;</vt:lpwstr>
      </vt:variant>
      <vt:variant>
        <vt:lpwstr/>
      </vt:variant>
      <vt:variant>
        <vt:i4>3801201</vt:i4>
      </vt:variant>
      <vt:variant>
        <vt:i4>12</vt:i4>
      </vt:variant>
      <vt:variant>
        <vt:i4>0</vt:i4>
      </vt:variant>
      <vt:variant>
        <vt:i4>5</vt:i4>
      </vt:variant>
      <vt:variant>
        <vt:lpwstr>http://www.lawbc.com/regulatory-developments/entry/gao-finds-epa-could-improve-its-assessment-and-control-of-chemicals/</vt:lpwstr>
      </vt:variant>
      <vt:variant>
        <vt:lpwstr/>
      </vt:variant>
      <vt:variant>
        <vt:i4>7798905</vt:i4>
      </vt:variant>
      <vt:variant>
        <vt:i4>9</vt:i4>
      </vt:variant>
      <vt:variant>
        <vt:i4>0</vt:i4>
      </vt:variant>
      <vt:variant>
        <vt:i4>5</vt:i4>
      </vt:variant>
      <vt:variant>
        <vt:lpwstr>http://www.gao.gov/products/GAO-13-249</vt:lpwstr>
      </vt:variant>
      <vt:variant>
        <vt:lpwstr/>
      </vt:variant>
      <vt:variant>
        <vt:i4>2621563</vt:i4>
      </vt:variant>
      <vt:variant>
        <vt:i4>6</vt:i4>
      </vt:variant>
      <vt:variant>
        <vt:i4>0</vt:i4>
      </vt:variant>
      <vt:variant>
        <vt:i4>5</vt:i4>
      </vt:variant>
      <vt:variant>
        <vt:lpwstr>http://www.lawbc.com/regulatory-developments/entry/safe-chemicals-act-of-2013-lautenberg-reintroduces-tsca-reform-legislation/</vt:lpwstr>
      </vt:variant>
      <vt:variant>
        <vt:lpwstr/>
      </vt:variant>
      <vt:variant>
        <vt:i4>2818162</vt:i4>
      </vt:variant>
      <vt:variant>
        <vt:i4>3</vt:i4>
      </vt:variant>
      <vt:variant>
        <vt:i4>0</vt:i4>
      </vt:variant>
      <vt:variant>
        <vt:i4>5</vt:i4>
      </vt:variant>
      <vt:variant>
        <vt:lpwstr>http://www.chemicalright2know.org/2013-webinars/spring-2013-webinar</vt:lpwstr>
      </vt:variant>
      <vt:variant>
        <vt:lpwstr/>
      </vt:variant>
      <vt:variant>
        <vt:i4>4259921</vt:i4>
      </vt:variant>
      <vt:variant>
        <vt:i4>0</vt:i4>
      </vt:variant>
      <vt:variant>
        <vt:i4>0</vt:i4>
      </vt:variant>
      <vt:variant>
        <vt:i4>5</vt:i4>
      </vt:variant>
      <vt:variant>
        <vt:lpwstr>http://www.epa.gov/tri/P2/index.html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2018 Update (00237267).DOCX</dc:title>
  <dc:subject>01002.001 / 111 / 00237267.DOCX</dc:subject>
  <dc:creator>Barbara Christianson</dc:creator>
  <cp:keywords/>
  <dc:description/>
  <cp:lastModifiedBy>Annette Mutombo</cp:lastModifiedBy>
  <cp:revision>2</cp:revision>
  <cp:lastPrinted>2018-03-28T22:10:00Z</cp:lastPrinted>
  <dcterms:created xsi:type="dcterms:W3CDTF">2018-04-10T14:21:00Z</dcterms:created>
  <dcterms:modified xsi:type="dcterms:W3CDTF">2018-04-10T14:21:00Z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3/28/2018 7:06:30 PM</vt:lpwstr>
  </property>
</Properties>
</file>