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3B0CC" w14:textId="77777777" w:rsidR="000B0E2B" w:rsidRPr="0046677E" w:rsidRDefault="00264ADC" w:rsidP="007707A1">
      <w:pPr>
        <w:pStyle w:val="Heading4"/>
        <w:keepNext w:val="0"/>
        <w:spacing w:before="0" w:after="0"/>
        <w:jc w:val="center"/>
        <w:rPr>
          <w:color w:val="000000"/>
          <w:sz w:val="24"/>
          <w:szCs w:val="24"/>
        </w:rPr>
      </w:pPr>
      <w:r w:rsidRPr="0046677E">
        <w:rPr>
          <w:rStyle w:val="MessageHeaderLabel"/>
          <w:rFonts w:ascii="Times New Roman" w:hAnsi="Times New Roman"/>
          <w:sz w:val="24"/>
          <w:szCs w:val="24"/>
        </w:rPr>
        <w:t>THE INTERNATIONAL CADMIUM ASSOCIATION</w:t>
      </w:r>
    </w:p>
    <w:p w14:paraId="65A27A4B" w14:textId="77777777" w:rsidR="000B0E2B" w:rsidRPr="0046677E" w:rsidRDefault="00264ADC" w:rsidP="007707A1">
      <w:pPr>
        <w:jc w:val="center"/>
        <w:rPr>
          <w:b/>
          <w:color w:val="000000"/>
        </w:rPr>
      </w:pPr>
      <w:r w:rsidRPr="0046677E">
        <w:rPr>
          <w:b/>
          <w:color w:val="000000"/>
        </w:rPr>
        <w:t>REGULATORY UPDATE</w:t>
      </w:r>
    </w:p>
    <w:p w14:paraId="253A7693" w14:textId="77777777" w:rsidR="000B0E2B" w:rsidRPr="0046677E" w:rsidRDefault="000B0E2B" w:rsidP="007707A1">
      <w:pPr>
        <w:rPr>
          <w:color w:val="000000"/>
        </w:rPr>
      </w:pPr>
    </w:p>
    <w:p w14:paraId="4EE3AB63" w14:textId="77777777" w:rsidR="000B0E2B" w:rsidRPr="0046677E" w:rsidRDefault="00264ADC" w:rsidP="007707A1">
      <w:pPr>
        <w:jc w:val="center"/>
        <w:rPr>
          <w:b/>
          <w:color w:val="000000"/>
        </w:rPr>
      </w:pPr>
      <w:r w:rsidRPr="0046677E">
        <w:rPr>
          <w:b/>
          <w:color w:val="000000"/>
        </w:rPr>
        <w:t>May 28, 2020</w:t>
      </w:r>
      <w:r w:rsidRPr="0046677E">
        <w:rPr>
          <w:rStyle w:val="FootnoteReference"/>
          <w:vertAlign w:val="superscript"/>
        </w:rPr>
        <w:footnoteReference w:id="1"/>
      </w:r>
    </w:p>
    <w:p w14:paraId="0F32C178" w14:textId="77777777" w:rsidR="000B0E2B" w:rsidRPr="0046677E" w:rsidRDefault="00264ADC" w:rsidP="007707A1">
      <w:pPr>
        <w:rPr>
          <w:color w:val="000000"/>
        </w:rPr>
      </w:pPr>
      <w:r w:rsidRPr="0046677E">
        <w:rPr>
          <w:color w:val="000000"/>
        </w:rPr>
        <w:t xml:space="preserve">______________________________________________________________________________  </w:t>
      </w:r>
    </w:p>
    <w:p w14:paraId="2934DD88" w14:textId="77777777" w:rsidR="000B0E2B" w:rsidRPr="0046677E" w:rsidRDefault="000B0E2B" w:rsidP="007707A1"/>
    <w:p w14:paraId="6C236213" w14:textId="77777777" w:rsidR="000B0E2B" w:rsidRPr="0046677E" w:rsidRDefault="00264ADC" w:rsidP="007707A1">
      <w:pPr>
        <w:pStyle w:val="Heading1"/>
        <w:keepNext w:val="0"/>
      </w:pPr>
      <w:r w:rsidRPr="0046677E">
        <w:t>NEW DEVELOPMENTS</w:t>
      </w:r>
    </w:p>
    <w:p w14:paraId="24767188" w14:textId="77777777" w:rsidR="000B0E2B" w:rsidRPr="0046677E" w:rsidRDefault="000B0E2B" w:rsidP="007707A1"/>
    <w:p w14:paraId="6EEE4758" w14:textId="77777777" w:rsidR="000B0E2B" w:rsidRPr="0046677E" w:rsidRDefault="00264ADC" w:rsidP="007707A1">
      <w:r w:rsidRPr="0046677E">
        <w:t>New information is available on the following issues in this Update:</w:t>
      </w:r>
    </w:p>
    <w:p w14:paraId="4633EC1C" w14:textId="77777777" w:rsidR="000B0E2B" w:rsidRPr="0046677E" w:rsidRDefault="000B0E2B" w:rsidP="007707A1"/>
    <w:p w14:paraId="50F5D2CD" w14:textId="77777777" w:rsidR="0046677E" w:rsidRPr="00292944" w:rsidRDefault="007707A1" w:rsidP="007707A1">
      <w:pPr>
        <w:pStyle w:val="NormalWeb"/>
        <w:spacing w:before="0" w:beforeAutospacing="0" w:after="0" w:afterAutospacing="0"/>
        <w:ind w:left="720"/>
        <w:jc w:val="both"/>
        <w:rPr>
          <w:rFonts w:ascii="Times New Roman" w:hAnsi="Times New Roman" w:cs="Times New Roman"/>
        </w:rPr>
      </w:pPr>
      <w:r w:rsidRPr="00292944">
        <w:rPr>
          <w:rFonts w:ascii="Times New Roman" w:hAnsi="Times New Roman" w:cs="Times New Roman"/>
        </w:rPr>
        <w:t>Federal Issues</w:t>
      </w:r>
    </w:p>
    <w:p w14:paraId="01A4DA25" w14:textId="77777777" w:rsidR="0046677E" w:rsidRPr="00292944" w:rsidRDefault="0046677E" w:rsidP="007707A1">
      <w:pPr>
        <w:pStyle w:val="BodyText"/>
        <w:spacing w:after="0"/>
        <w:ind w:left="720"/>
        <w:jc w:val="both"/>
      </w:pPr>
    </w:p>
    <w:p w14:paraId="2C515E7C" w14:textId="77777777" w:rsidR="0046677E" w:rsidRPr="00292944" w:rsidRDefault="007707A1" w:rsidP="007707A1">
      <w:pPr>
        <w:widowControl/>
        <w:ind w:left="1440"/>
      </w:pPr>
      <w:r w:rsidRPr="00292944">
        <w:t xml:space="preserve">Mining </w:t>
      </w:r>
      <w:proofErr w:type="gramStart"/>
      <w:r w:rsidRPr="00292944">
        <w:t>And</w:t>
      </w:r>
      <w:proofErr w:type="gramEnd"/>
      <w:r w:rsidRPr="00292944">
        <w:t xml:space="preserve"> Mineral Issues</w:t>
      </w:r>
    </w:p>
    <w:p w14:paraId="48A298DC" w14:textId="77777777" w:rsidR="0046677E" w:rsidRPr="00292944" w:rsidRDefault="0046677E" w:rsidP="007707A1">
      <w:pPr>
        <w:widowControl/>
        <w:ind w:left="1440"/>
      </w:pPr>
    </w:p>
    <w:p w14:paraId="20CEFEC9" w14:textId="77777777" w:rsidR="0046677E" w:rsidRPr="00292944" w:rsidRDefault="0046677E" w:rsidP="007707A1">
      <w:pPr>
        <w:widowControl/>
        <w:ind w:left="2160"/>
      </w:pPr>
      <w:r w:rsidRPr="00292944">
        <w:t>USDA Publishes Notice Concerning Locatable Minerals</w:t>
      </w:r>
      <w:r w:rsidR="00740886">
        <w:t>, page 3</w:t>
      </w:r>
    </w:p>
    <w:p w14:paraId="4011327F" w14:textId="77777777" w:rsidR="0046677E" w:rsidRPr="00292944" w:rsidRDefault="0046677E" w:rsidP="007707A1">
      <w:pPr>
        <w:widowControl/>
        <w:ind w:left="1440"/>
      </w:pPr>
    </w:p>
    <w:p w14:paraId="6ECB04EE" w14:textId="77777777" w:rsidR="0046677E" w:rsidRPr="00292944" w:rsidRDefault="0046677E" w:rsidP="007707A1">
      <w:pPr>
        <w:ind w:left="1440"/>
      </w:pPr>
      <w:r w:rsidRPr="00292944">
        <w:t xml:space="preserve">TSCA </w:t>
      </w:r>
      <w:r w:rsidR="007707A1" w:rsidRPr="00292944">
        <w:t>Issues</w:t>
      </w:r>
    </w:p>
    <w:p w14:paraId="7D8913A5" w14:textId="77777777" w:rsidR="0046677E" w:rsidRPr="00292944" w:rsidRDefault="0046677E" w:rsidP="007707A1">
      <w:pPr>
        <w:ind w:left="1440"/>
      </w:pPr>
    </w:p>
    <w:p w14:paraId="0EC3A472" w14:textId="77777777" w:rsidR="0046677E" w:rsidRPr="00292944" w:rsidRDefault="0046677E" w:rsidP="007707A1">
      <w:pPr>
        <w:ind w:left="2160"/>
      </w:pPr>
      <w:r w:rsidRPr="00033050">
        <w:rPr>
          <w:highlight w:val="yellow"/>
        </w:rPr>
        <w:t xml:space="preserve">EPA Amends CDR Rule </w:t>
      </w:r>
      <w:proofErr w:type="gramStart"/>
      <w:r w:rsidRPr="00033050">
        <w:rPr>
          <w:highlight w:val="yellow"/>
        </w:rPr>
        <w:t>And</w:t>
      </w:r>
      <w:proofErr w:type="gramEnd"/>
      <w:r w:rsidRPr="00033050">
        <w:rPr>
          <w:highlight w:val="yellow"/>
        </w:rPr>
        <w:t xml:space="preserve"> Extends 2020 Submission Period</w:t>
      </w:r>
      <w:r w:rsidR="00740886" w:rsidRPr="00033050">
        <w:rPr>
          <w:highlight w:val="yellow"/>
        </w:rPr>
        <w:t>, page 4</w:t>
      </w:r>
    </w:p>
    <w:p w14:paraId="02885480" w14:textId="77777777" w:rsidR="0046677E" w:rsidRPr="00292944" w:rsidRDefault="0046677E" w:rsidP="007707A1">
      <w:pPr>
        <w:ind w:left="1440"/>
      </w:pPr>
    </w:p>
    <w:p w14:paraId="431E76FC" w14:textId="77777777" w:rsidR="0046677E" w:rsidRPr="00292944" w:rsidRDefault="007707A1" w:rsidP="007707A1">
      <w:pPr>
        <w:widowControl/>
        <w:ind w:left="1440"/>
      </w:pPr>
      <w:r w:rsidRPr="00292944">
        <w:t>Miscellaneous Issues</w:t>
      </w:r>
    </w:p>
    <w:p w14:paraId="02C77C24" w14:textId="77777777" w:rsidR="0046677E" w:rsidRPr="00292944" w:rsidRDefault="0046677E" w:rsidP="007707A1">
      <w:pPr>
        <w:ind w:left="1440"/>
      </w:pPr>
    </w:p>
    <w:p w14:paraId="39F22C59" w14:textId="77777777" w:rsidR="0046677E" w:rsidRPr="00292944" w:rsidRDefault="0046677E" w:rsidP="007707A1">
      <w:pPr>
        <w:ind w:left="2160"/>
      </w:pPr>
      <w:r w:rsidRPr="00292944">
        <w:t xml:space="preserve">ATSDR Requests Comments </w:t>
      </w:r>
      <w:proofErr w:type="gramStart"/>
      <w:r w:rsidRPr="00292944">
        <w:t>On</w:t>
      </w:r>
      <w:proofErr w:type="gramEnd"/>
      <w:r w:rsidRPr="00292944">
        <w:t xml:space="preserve"> Proposed Substances To Be Evaluated For Toxicological Profile Development</w:t>
      </w:r>
      <w:r w:rsidR="00740886">
        <w:t>, page 5</w:t>
      </w:r>
    </w:p>
    <w:p w14:paraId="1A9C1FD0" w14:textId="77777777" w:rsidR="0046677E" w:rsidRPr="00292944" w:rsidRDefault="0046677E" w:rsidP="007707A1">
      <w:pPr>
        <w:ind w:left="2160"/>
      </w:pPr>
    </w:p>
    <w:p w14:paraId="727D31FF" w14:textId="77777777" w:rsidR="0046677E" w:rsidRPr="00292944" w:rsidRDefault="0046677E" w:rsidP="007707A1">
      <w:pPr>
        <w:ind w:left="2160"/>
      </w:pPr>
      <w:r w:rsidRPr="0095343E">
        <w:rPr>
          <w:highlight w:val="yellow"/>
        </w:rPr>
        <w:t>Carter’s Includes Cadmium On RSL</w:t>
      </w:r>
      <w:r w:rsidR="00740886" w:rsidRPr="0095343E">
        <w:rPr>
          <w:highlight w:val="yellow"/>
        </w:rPr>
        <w:t>, page 5</w:t>
      </w:r>
    </w:p>
    <w:p w14:paraId="47F3EFC2" w14:textId="77777777" w:rsidR="0046677E" w:rsidRPr="00292944" w:rsidRDefault="0046677E" w:rsidP="007707A1">
      <w:pPr>
        <w:ind w:left="2160"/>
      </w:pPr>
    </w:p>
    <w:p w14:paraId="7441C382" w14:textId="77777777" w:rsidR="0046677E" w:rsidRPr="00292944" w:rsidRDefault="0046677E" w:rsidP="007707A1">
      <w:pPr>
        <w:ind w:left="2160"/>
      </w:pPr>
      <w:r w:rsidRPr="00292944">
        <w:t xml:space="preserve">EPA Proposes Rule </w:t>
      </w:r>
      <w:proofErr w:type="gramStart"/>
      <w:r w:rsidRPr="00292944">
        <w:t>To</w:t>
      </w:r>
      <w:proofErr w:type="gramEnd"/>
      <w:r w:rsidRPr="00292944">
        <w:t xml:space="preserve"> Improve Transparency Of Guidance</w:t>
      </w:r>
      <w:r w:rsidR="00740886">
        <w:t>, page 6</w:t>
      </w:r>
    </w:p>
    <w:p w14:paraId="19F650DC" w14:textId="77777777" w:rsidR="0046677E" w:rsidRPr="00292944" w:rsidRDefault="0046677E" w:rsidP="007707A1">
      <w:pPr>
        <w:ind w:left="2160"/>
      </w:pPr>
    </w:p>
    <w:p w14:paraId="1988BA80" w14:textId="77777777" w:rsidR="0046677E" w:rsidRPr="00292944" w:rsidRDefault="0046677E" w:rsidP="007707A1">
      <w:pPr>
        <w:ind w:left="2160"/>
      </w:pPr>
      <w:r w:rsidRPr="0095343E">
        <w:rPr>
          <w:highlight w:val="yellow"/>
        </w:rPr>
        <w:t xml:space="preserve">NGO Highlights FDA Review </w:t>
      </w:r>
      <w:proofErr w:type="gramStart"/>
      <w:r w:rsidRPr="0095343E">
        <w:rPr>
          <w:highlight w:val="yellow"/>
        </w:rPr>
        <w:t>Of</w:t>
      </w:r>
      <w:proofErr w:type="gramEnd"/>
      <w:r w:rsidRPr="0095343E">
        <w:rPr>
          <w:highlight w:val="yellow"/>
        </w:rPr>
        <w:t xml:space="preserve"> Mitigation Strategies To Reduce Dietary Exposure To Cadmium</w:t>
      </w:r>
      <w:r w:rsidR="00740886" w:rsidRPr="0095343E">
        <w:rPr>
          <w:highlight w:val="yellow"/>
        </w:rPr>
        <w:t>, page 6</w:t>
      </w:r>
    </w:p>
    <w:p w14:paraId="2D678B48" w14:textId="77777777" w:rsidR="0046677E" w:rsidRPr="00292944" w:rsidRDefault="0046677E" w:rsidP="007707A1">
      <w:pPr>
        <w:ind w:left="720"/>
      </w:pPr>
    </w:p>
    <w:p w14:paraId="78570745" w14:textId="77777777" w:rsidR="0046677E" w:rsidRPr="00292944" w:rsidRDefault="007707A1" w:rsidP="007707A1">
      <w:pPr>
        <w:widowControl/>
        <w:ind w:left="720"/>
      </w:pPr>
      <w:r w:rsidRPr="00292944">
        <w:t>State Issues</w:t>
      </w:r>
    </w:p>
    <w:p w14:paraId="3DBED229" w14:textId="77777777" w:rsidR="0046677E" w:rsidRPr="00292944" w:rsidRDefault="0046677E" w:rsidP="007707A1">
      <w:pPr>
        <w:ind w:left="720"/>
      </w:pPr>
    </w:p>
    <w:p w14:paraId="5C913E8B" w14:textId="77777777" w:rsidR="0046677E" w:rsidRPr="00292944" w:rsidRDefault="0046677E" w:rsidP="007707A1">
      <w:pPr>
        <w:ind w:left="1440"/>
        <w:rPr>
          <w:i/>
        </w:rPr>
      </w:pPr>
      <w:r w:rsidRPr="00292944">
        <w:rPr>
          <w:i/>
        </w:rPr>
        <w:t>D.C.</w:t>
      </w:r>
    </w:p>
    <w:p w14:paraId="4B19378F" w14:textId="77777777" w:rsidR="0046677E" w:rsidRPr="00292944" w:rsidRDefault="0046677E" w:rsidP="007707A1">
      <w:pPr>
        <w:ind w:left="1440"/>
      </w:pPr>
    </w:p>
    <w:p w14:paraId="2175335B" w14:textId="77777777" w:rsidR="0046677E" w:rsidRPr="00292944" w:rsidRDefault="0046677E" w:rsidP="007707A1">
      <w:pPr>
        <w:ind w:left="2160"/>
      </w:pPr>
      <w:r w:rsidRPr="00292944">
        <w:t xml:space="preserve">D.C. Updates Aquatic Life Criteria </w:t>
      </w:r>
      <w:proofErr w:type="gramStart"/>
      <w:r w:rsidRPr="00292944">
        <w:t>For</w:t>
      </w:r>
      <w:proofErr w:type="gramEnd"/>
      <w:r w:rsidRPr="00292944">
        <w:t xml:space="preserve"> Cadmium</w:t>
      </w:r>
      <w:r w:rsidR="00740886">
        <w:t>, page 7</w:t>
      </w:r>
    </w:p>
    <w:p w14:paraId="283FEBB3" w14:textId="77777777" w:rsidR="0046677E" w:rsidRPr="00292944" w:rsidRDefault="0046677E" w:rsidP="007707A1">
      <w:pPr>
        <w:ind w:left="1440"/>
      </w:pPr>
    </w:p>
    <w:p w14:paraId="3741EA00" w14:textId="77777777" w:rsidR="0046677E" w:rsidRPr="00292944" w:rsidRDefault="0046677E" w:rsidP="00534990">
      <w:pPr>
        <w:keepNext/>
        <w:keepLines/>
        <w:widowControl/>
        <w:ind w:left="1440"/>
        <w:rPr>
          <w:i/>
        </w:rPr>
      </w:pPr>
      <w:r w:rsidRPr="00292944">
        <w:rPr>
          <w:i/>
        </w:rPr>
        <w:lastRenderedPageBreak/>
        <w:t>Minnesota</w:t>
      </w:r>
    </w:p>
    <w:p w14:paraId="76BACFC6" w14:textId="77777777" w:rsidR="0046677E" w:rsidRPr="00292944" w:rsidRDefault="0046677E" w:rsidP="00534990">
      <w:pPr>
        <w:keepNext/>
        <w:keepLines/>
        <w:widowControl/>
        <w:ind w:left="1440"/>
      </w:pPr>
    </w:p>
    <w:p w14:paraId="77C1CD98" w14:textId="77777777" w:rsidR="0046677E" w:rsidRPr="00292944" w:rsidRDefault="0046677E" w:rsidP="00534990">
      <w:pPr>
        <w:keepNext/>
        <w:keepLines/>
        <w:widowControl/>
        <w:ind w:left="2160"/>
      </w:pPr>
      <w:r w:rsidRPr="00292944">
        <w:t xml:space="preserve">CPIT Tests Spinning Battle Toys </w:t>
      </w:r>
      <w:proofErr w:type="gramStart"/>
      <w:r w:rsidRPr="00292944">
        <w:t>For</w:t>
      </w:r>
      <w:proofErr w:type="gramEnd"/>
      <w:r w:rsidRPr="00292944">
        <w:t xml:space="preserve"> Lead And Cadmium</w:t>
      </w:r>
      <w:r w:rsidR="00740886">
        <w:t>, page 8</w:t>
      </w:r>
    </w:p>
    <w:p w14:paraId="60F94B5C" w14:textId="77777777" w:rsidR="0046677E" w:rsidRPr="00292944" w:rsidRDefault="0046677E" w:rsidP="007707A1">
      <w:pPr>
        <w:ind w:left="1440"/>
      </w:pPr>
    </w:p>
    <w:p w14:paraId="56CCEE19" w14:textId="77777777" w:rsidR="0046677E" w:rsidRPr="00292944" w:rsidRDefault="0046677E" w:rsidP="007707A1">
      <w:pPr>
        <w:ind w:left="1440"/>
        <w:rPr>
          <w:i/>
        </w:rPr>
      </w:pPr>
      <w:r w:rsidRPr="00292944">
        <w:rPr>
          <w:i/>
        </w:rPr>
        <w:t>New York</w:t>
      </w:r>
    </w:p>
    <w:p w14:paraId="0ED72195" w14:textId="77777777" w:rsidR="0046677E" w:rsidRPr="00292944" w:rsidRDefault="0046677E" w:rsidP="007707A1">
      <w:pPr>
        <w:ind w:left="1440"/>
      </w:pPr>
    </w:p>
    <w:p w14:paraId="6E300534" w14:textId="77777777" w:rsidR="0046677E" w:rsidRPr="00292944" w:rsidRDefault="0046677E" w:rsidP="007707A1">
      <w:pPr>
        <w:ind w:left="2160"/>
      </w:pPr>
      <w:r w:rsidRPr="00292944">
        <w:t>Governor Signs Bill Amending Child Safe Products Act</w:t>
      </w:r>
      <w:r w:rsidR="00740886">
        <w:t>, page 8</w:t>
      </w:r>
    </w:p>
    <w:p w14:paraId="43447EF2" w14:textId="77777777" w:rsidR="0046677E" w:rsidRPr="00292944" w:rsidRDefault="0046677E" w:rsidP="007707A1">
      <w:pPr>
        <w:ind w:left="720"/>
      </w:pPr>
    </w:p>
    <w:p w14:paraId="35C6E8D9" w14:textId="77777777" w:rsidR="007707A1" w:rsidRDefault="007707A1" w:rsidP="007707A1">
      <w:pPr>
        <w:ind w:left="720"/>
      </w:pPr>
      <w:r>
        <w:t>International Issues</w:t>
      </w:r>
    </w:p>
    <w:p w14:paraId="2ADFABFE" w14:textId="77777777" w:rsidR="007707A1" w:rsidRDefault="007707A1" w:rsidP="007707A1">
      <w:pPr>
        <w:ind w:left="720"/>
      </w:pPr>
    </w:p>
    <w:p w14:paraId="61D5FCF9" w14:textId="77777777" w:rsidR="0046677E" w:rsidRPr="00292944" w:rsidRDefault="007707A1" w:rsidP="007707A1">
      <w:pPr>
        <w:ind w:left="1440"/>
      </w:pPr>
      <w:r w:rsidRPr="00292944">
        <w:t>Australia</w:t>
      </w:r>
    </w:p>
    <w:p w14:paraId="6956C428" w14:textId="77777777" w:rsidR="0046677E" w:rsidRPr="00292944" w:rsidRDefault="0046677E" w:rsidP="007707A1">
      <w:pPr>
        <w:pStyle w:val="NormalWeb"/>
        <w:spacing w:before="0" w:beforeAutospacing="0" w:after="0" w:afterAutospacing="0"/>
        <w:ind w:left="1440"/>
        <w:jc w:val="both"/>
        <w:rPr>
          <w:rFonts w:ascii="Times New Roman" w:hAnsi="Times New Roman" w:cs="Times New Roman"/>
        </w:rPr>
      </w:pPr>
    </w:p>
    <w:p w14:paraId="40B01B5B" w14:textId="77777777" w:rsidR="0046677E" w:rsidRPr="00292944" w:rsidRDefault="0046677E" w:rsidP="007707A1">
      <w:pPr>
        <w:ind w:left="2160"/>
      </w:pPr>
      <w:r w:rsidRPr="00292944">
        <w:t xml:space="preserve">Australia Pauses Review </w:t>
      </w:r>
      <w:proofErr w:type="gramStart"/>
      <w:r w:rsidRPr="00292944">
        <w:t>Of</w:t>
      </w:r>
      <w:proofErr w:type="gramEnd"/>
      <w:r w:rsidRPr="00292944">
        <w:t xml:space="preserve"> Workplace Exposure Standards</w:t>
      </w:r>
      <w:r w:rsidR="00740886">
        <w:t>, page 8</w:t>
      </w:r>
    </w:p>
    <w:p w14:paraId="3F165052" w14:textId="77777777" w:rsidR="0046677E" w:rsidRPr="00292944" w:rsidRDefault="0046677E" w:rsidP="007707A1">
      <w:pPr>
        <w:ind w:left="2160"/>
      </w:pPr>
    </w:p>
    <w:p w14:paraId="56142098" w14:textId="77777777" w:rsidR="0046677E" w:rsidRPr="00292944" w:rsidRDefault="0046677E" w:rsidP="007707A1">
      <w:pPr>
        <w:ind w:left="2160"/>
      </w:pPr>
      <w:r w:rsidRPr="00292944">
        <w:t xml:space="preserve">NICNAS List </w:t>
      </w:r>
      <w:proofErr w:type="gramStart"/>
      <w:r w:rsidRPr="00292944">
        <w:t>Of</w:t>
      </w:r>
      <w:proofErr w:type="gramEnd"/>
      <w:r w:rsidRPr="00292944">
        <w:t xml:space="preserve"> Chemicals With High Hazards For Categorization Includes Cadmium And Cadmium Compounds</w:t>
      </w:r>
      <w:r w:rsidR="00740886">
        <w:t>, page 9</w:t>
      </w:r>
    </w:p>
    <w:p w14:paraId="5D335A02" w14:textId="77777777" w:rsidR="0046677E" w:rsidRPr="00292944" w:rsidRDefault="0046677E" w:rsidP="007707A1">
      <w:pPr>
        <w:ind w:left="2160"/>
      </w:pPr>
    </w:p>
    <w:p w14:paraId="1610E30F" w14:textId="77777777" w:rsidR="0046677E" w:rsidRPr="00292944" w:rsidRDefault="0046677E" w:rsidP="007707A1">
      <w:pPr>
        <w:ind w:left="2160"/>
      </w:pPr>
      <w:r w:rsidRPr="00292944">
        <w:t>Australia Posts AICIS Educational Videos</w:t>
      </w:r>
      <w:r w:rsidR="00740886">
        <w:t>, page 9</w:t>
      </w:r>
    </w:p>
    <w:p w14:paraId="20E3723F" w14:textId="77777777" w:rsidR="0046677E" w:rsidRPr="00292944" w:rsidRDefault="0046677E" w:rsidP="007707A1">
      <w:pPr>
        <w:ind w:left="1440"/>
      </w:pPr>
    </w:p>
    <w:p w14:paraId="50A28C6A" w14:textId="77777777" w:rsidR="0046677E" w:rsidRPr="00292944" w:rsidRDefault="007707A1" w:rsidP="007707A1">
      <w:pPr>
        <w:widowControl/>
        <w:ind w:left="1440"/>
      </w:pPr>
      <w:r w:rsidRPr="00292944">
        <w:t>Canada</w:t>
      </w:r>
    </w:p>
    <w:p w14:paraId="06F19AD3" w14:textId="77777777" w:rsidR="0046677E" w:rsidRPr="00292944" w:rsidRDefault="0046677E" w:rsidP="007707A1">
      <w:pPr>
        <w:widowControl/>
        <w:ind w:left="1440"/>
      </w:pPr>
    </w:p>
    <w:p w14:paraId="7DCD3BBC" w14:textId="77777777" w:rsidR="0046677E" w:rsidRPr="00292944" w:rsidRDefault="0046677E" w:rsidP="007707A1">
      <w:pPr>
        <w:ind w:left="2160"/>
      </w:pPr>
      <w:r w:rsidRPr="00292944">
        <w:t xml:space="preserve">Natural Resources Canada Releases Preliminary Version </w:t>
      </w:r>
      <w:proofErr w:type="gramStart"/>
      <w:r w:rsidRPr="00292944">
        <w:t>Of</w:t>
      </w:r>
      <w:proofErr w:type="gramEnd"/>
      <w:r w:rsidRPr="00292944">
        <w:t xml:space="preserve"> Action Plan 2020 Under The Canadian Minerals And Metals Plan</w:t>
      </w:r>
      <w:r w:rsidR="00740886">
        <w:t>, page 9</w:t>
      </w:r>
    </w:p>
    <w:p w14:paraId="45798625" w14:textId="77777777" w:rsidR="0046677E" w:rsidRPr="00292944" w:rsidRDefault="0046677E" w:rsidP="007707A1">
      <w:pPr>
        <w:ind w:left="2160"/>
      </w:pPr>
    </w:p>
    <w:p w14:paraId="621C142E" w14:textId="77777777" w:rsidR="0046677E" w:rsidRPr="00292944" w:rsidRDefault="0046677E" w:rsidP="007707A1">
      <w:pPr>
        <w:widowControl/>
        <w:ind w:left="2160"/>
      </w:pPr>
      <w:r w:rsidRPr="00292944">
        <w:t>MAC Survey Finds Canadians Want To “Seize Opportunity” In Critical Minerals</w:t>
      </w:r>
      <w:r w:rsidR="00740886">
        <w:t>, page 11</w:t>
      </w:r>
    </w:p>
    <w:p w14:paraId="6A3F0146" w14:textId="77777777" w:rsidR="0046677E" w:rsidRPr="00292944" w:rsidRDefault="0046677E" w:rsidP="007707A1">
      <w:pPr>
        <w:widowControl/>
        <w:ind w:left="1440"/>
      </w:pPr>
    </w:p>
    <w:p w14:paraId="0E20CF19" w14:textId="77777777" w:rsidR="0046677E" w:rsidRPr="00292944" w:rsidRDefault="007707A1" w:rsidP="007707A1">
      <w:pPr>
        <w:widowControl/>
        <w:ind w:left="1440"/>
      </w:pPr>
      <w:r w:rsidRPr="00292944">
        <w:t>Hong Kong</w:t>
      </w:r>
    </w:p>
    <w:p w14:paraId="1BB59E71" w14:textId="77777777" w:rsidR="0046677E" w:rsidRPr="00292944" w:rsidRDefault="0046677E" w:rsidP="007707A1">
      <w:pPr>
        <w:widowControl/>
        <w:ind w:left="1440"/>
      </w:pPr>
    </w:p>
    <w:p w14:paraId="218C1CE9" w14:textId="77777777" w:rsidR="0046677E" w:rsidRPr="00292944" w:rsidRDefault="0046677E" w:rsidP="007707A1">
      <w:pPr>
        <w:widowControl/>
        <w:ind w:left="2160"/>
      </w:pPr>
      <w:r w:rsidRPr="00292944">
        <w:t xml:space="preserve">Hong Kong Updates Safety Standard </w:t>
      </w:r>
      <w:proofErr w:type="gramStart"/>
      <w:r w:rsidRPr="00292944">
        <w:t>For</w:t>
      </w:r>
      <w:proofErr w:type="gramEnd"/>
      <w:r w:rsidRPr="00292944">
        <w:t xml:space="preserve"> Toys And Other Children’s Products</w:t>
      </w:r>
      <w:r w:rsidR="00740886">
        <w:t>, page 12</w:t>
      </w:r>
    </w:p>
    <w:p w14:paraId="173DD18A" w14:textId="77777777" w:rsidR="0046677E" w:rsidRPr="00292944" w:rsidRDefault="0046677E" w:rsidP="007707A1">
      <w:pPr>
        <w:widowControl/>
        <w:ind w:left="1440"/>
      </w:pPr>
    </w:p>
    <w:p w14:paraId="399C6C22" w14:textId="77777777" w:rsidR="0046677E" w:rsidRPr="00292944" w:rsidRDefault="0046677E" w:rsidP="007707A1">
      <w:pPr>
        <w:ind w:left="1440"/>
      </w:pPr>
      <w:r w:rsidRPr="00292944">
        <w:t>ISO</w:t>
      </w:r>
    </w:p>
    <w:p w14:paraId="40ED1564" w14:textId="77777777" w:rsidR="0046677E" w:rsidRPr="00292944" w:rsidRDefault="0046677E" w:rsidP="007707A1">
      <w:pPr>
        <w:ind w:left="1440"/>
      </w:pPr>
    </w:p>
    <w:p w14:paraId="625A6A47" w14:textId="77777777" w:rsidR="0046677E" w:rsidRPr="00292944" w:rsidRDefault="0046677E" w:rsidP="007707A1">
      <w:pPr>
        <w:ind w:left="2160"/>
      </w:pPr>
      <w:r w:rsidRPr="00292944">
        <w:t xml:space="preserve">ISO Updates Toy Safety Standard </w:t>
      </w:r>
      <w:proofErr w:type="gramStart"/>
      <w:r w:rsidRPr="00292944">
        <w:t>For</w:t>
      </w:r>
      <w:proofErr w:type="gramEnd"/>
      <w:r w:rsidRPr="00292944">
        <w:t xml:space="preserve"> The Migration Of Certain Elements, Including Cadmium</w:t>
      </w:r>
      <w:r w:rsidR="00740886">
        <w:t>, page 12</w:t>
      </w:r>
    </w:p>
    <w:p w14:paraId="41AC148A" w14:textId="77777777" w:rsidR="0046677E" w:rsidRPr="00292944" w:rsidRDefault="0046677E" w:rsidP="007707A1">
      <w:pPr>
        <w:ind w:left="1440"/>
      </w:pPr>
    </w:p>
    <w:p w14:paraId="019CB772" w14:textId="77777777" w:rsidR="0046677E" w:rsidRPr="00292944" w:rsidRDefault="007707A1" w:rsidP="007707A1">
      <w:pPr>
        <w:widowControl/>
        <w:ind w:left="1440"/>
      </w:pPr>
      <w:r w:rsidRPr="00292944">
        <w:t>Israel</w:t>
      </w:r>
    </w:p>
    <w:p w14:paraId="74364490" w14:textId="77777777" w:rsidR="0046677E" w:rsidRPr="00292944" w:rsidRDefault="0046677E" w:rsidP="007707A1">
      <w:pPr>
        <w:widowControl/>
        <w:ind w:left="1440"/>
      </w:pPr>
    </w:p>
    <w:p w14:paraId="60F13256" w14:textId="77777777" w:rsidR="0046677E" w:rsidRPr="00292944" w:rsidRDefault="0046677E" w:rsidP="007707A1">
      <w:pPr>
        <w:widowControl/>
        <w:ind w:left="2160"/>
      </w:pPr>
      <w:r w:rsidRPr="00BC1C49">
        <w:rPr>
          <w:highlight w:val="yellow"/>
        </w:rPr>
        <w:t xml:space="preserve">Cadmium Limit </w:t>
      </w:r>
      <w:proofErr w:type="gramStart"/>
      <w:r w:rsidRPr="00BC1C49">
        <w:rPr>
          <w:highlight w:val="yellow"/>
        </w:rPr>
        <w:t>In</w:t>
      </w:r>
      <w:proofErr w:type="gramEnd"/>
      <w:r w:rsidRPr="00BC1C49">
        <w:rPr>
          <w:highlight w:val="yellow"/>
        </w:rPr>
        <w:t xml:space="preserve"> Certain FCMs Will Be Mandatory</w:t>
      </w:r>
      <w:r w:rsidR="00740886" w:rsidRPr="00BC1C49">
        <w:rPr>
          <w:highlight w:val="yellow"/>
        </w:rPr>
        <w:t>, page 14</w:t>
      </w:r>
    </w:p>
    <w:p w14:paraId="2024F386" w14:textId="77777777" w:rsidR="0046677E" w:rsidRPr="00292944" w:rsidRDefault="0046677E" w:rsidP="007707A1">
      <w:pPr>
        <w:widowControl/>
        <w:ind w:left="1440"/>
      </w:pPr>
    </w:p>
    <w:p w14:paraId="449F0CD5" w14:textId="77777777" w:rsidR="0046677E" w:rsidRPr="00292944" w:rsidRDefault="007707A1" w:rsidP="00534990">
      <w:pPr>
        <w:keepNext/>
        <w:keepLines/>
        <w:widowControl/>
        <w:ind w:left="1440"/>
        <w:rPr>
          <w:bCs/>
        </w:rPr>
      </w:pPr>
      <w:r w:rsidRPr="00292944">
        <w:rPr>
          <w:bCs/>
        </w:rPr>
        <w:lastRenderedPageBreak/>
        <w:t>Malaysia</w:t>
      </w:r>
    </w:p>
    <w:p w14:paraId="24BC2737" w14:textId="77777777" w:rsidR="0046677E" w:rsidRPr="00292944" w:rsidRDefault="0046677E" w:rsidP="00534990">
      <w:pPr>
        <w:keepNext/>
        <w:keepLines/>
        <w:ind w:left="1440"/>
      </w:pPr>
    </w:p>
    <w:p w14:paraId="613928AB" w14:textId="77777777" w:rsidR="0046677E" w:rsidRPr="00292944" w:rsidRDefault="0046677E" w:rsidP="00534990">
      <w:pPr>
        <w:keepNext/>
        <w:keepLines/>
        <w:ind w:left="2160"/>
      </w:pPr>
      <w:r w:rsidRPr="00BC1C49">
        <w:rPr>
          <w:highlight w:val="yellow"/>
        </w:rPr>
        <w:t xml:space="preserve">MOH Intends </w:t>
      </w:r>
      <w:proofErr w:type="gramStart"/>
      <w:r w:rsidRPr="00BC1C49">
        <w:rPr>
          <w:highlight w:val="yellow"/>
        </w:rPr>
        <w:t>To</w:t>
      </w:r>
      <w:proofErr w:type="gramEnd"/>
      <w:r w:rsidRPr="00BC1C49">
        <w:rPr>
          <w:highlight w:val="yellow"/>
        </w:rPr>
        <w:t xml:space="preserve"> Propose Maximum Release Amount For Cadmium In Cookware</w:t>
      </w:r>
      <w:r w:rsidR="00740886" w:rsidRPr="00BC1C49">
        <w:rPr>
          <w:highlight w:val="yellow"/>
        </w:rPr>
        <w:t>, page 14</w:t>
      </w:r>
    </w:p>
    <w:p w14:paraId="68DA1118" w14:textId="77777777" w:rsidR="0046677E" w:rsidRPr="00292944" w:rsidRDefault="0046677E" w:rsidP="007707A1">
      <w:pPr>
        <w:ind w:left="2160"/>
      </w:pPr>
    </w:p>
    <w:p w14:paraId="10CEB1EB" w14:textId="77777777" w:rsidR="0046677E" w:rsidRPr="00292944" w:rsidRDefault="0046677E" w:rsidP="007707A1">
      <w:pPr>
        <w:widowControl/>
        <w:ind w:left="2160"/>
      </w:pPr>
      <w:r w:rsidRPr="00BC1C49">
        <w:rPr>
          <w:highlight w:val="yellow"/>
        </w:rPr>
        <w:t xml:space="preserve">Greenpeace Publishes Report </w:t>
      </w:r>
      <w:proofErr w:type="gramStart"/>
      <w:r w:rsidRPr="00BC1C49">
        <w:rPr>
          <w:highlight w:val="yellow"/>
        </w:rPr>
        <w:t>On</w:t>
      </w:r>
      <w:proofErr w:type="gramEnd"/>
      <w:r w:rsidRPr="00BC1C49">
        <w:rPr>
          <w:highlight w:val="yellow"/>
        </w:rPr>
        <w:t xml:space="preserve"> Toxic After-Effects Of Imported Plastic Waste In Malaysia</w:t>
      </w:r>
      <w:r w:rsidR="00740886" w:rsidRPr="00BC1C49">
        <w:rPr>
          <w:highlight w:val="yellow"/>
        </w:rPr>
        <w:t>, page 14</w:t>
      </w:r>
    </w:p>
    <w:p w14:paraId="648C42EF" w14:textId="77777777" w:rsidR="0046677E" w:rsidRPr="00292944" w:rsidRDefault="0046677E" w:rsidP="007707A1">
      <w:pPr>
        <w:widowControl/>
      </w:pPr>
    </w:p>
    <w:p w14:paraId="73F0BE5C" w14:textId="77777777" w:rsidR="000B0E2B" w:rsidRPr="0046677E" w:rsidRDefault="00264ADC" w:rsidP="007707A1">
      <w:pPr>
        <w:pStyle w:val="NormalWeb"/>
        <w:spacing w:before="0" w:beforeAutospacing="0" w:after="0" w:afterAutospacing="0"/>
        <w:jc w:val="center"/>
        <w:rPr>
          <w:rFonts w:ascii="Times New Roman" w:hAnsi="Times New Roman" w:cs="Times New Roman"/>
          <w:b/>
        </w:rPr>
      </w:pPr>
      <w:r w:rsidRPr="0046677E">
        <w:rPr>
          <w:rFonts w:ascii="Times New Roman" w:hAnsi="Times New Roman" w:cs="Times New Roman"/>
          <w:b/>
        </w:rPr>
        <w:t>FEDERAL ISSUES</w:t>
      </w:r>
    </w:p>
    <w:p w14:paraId="75C3D311" w14:textId="77777777" w:rsidR="000B0E2B" w:rsidRPr="0046677E" w:rsidRDefault="000B0E2B" w:rsidP="007707A1">
      <w:pPr>
        <w:pStyle w:val="BodyText"/>
        <w:spacing w:after="0"/>
        <w:jc w:val="both"/>
      </w:pPr>
      <w:bookmarkStart w:id="0" w:name="_EPA_Will_Issue"/>
      <w:bookmarkStart w:id="1" w:name="_EPA_Begins_Work"/>
      <w:bookmarkStart w:id="2" w:name="_EPA_Analysis_Reports"/>
      <w:bookmarkStart w:id="3" w:name="_Senate_Foreign_Relations"/>
      <w:bookmarkStart w:id="4" w:name="_DOE_Releases_Climate"/>
      <w:bookmarkStart w:id="5" w:name="_Senate_Committee_Holds"/>
      <w:bookmarkStart w:id="6" w:name="_Major_Economies_Hold"/>
      <w:bookmarkStart w:id="7" w:name="_OIG_Concludes_MACT_Standards_Effect"/>
      <w:bookmarkStart w:id="8" w:name="_Japan’s_Emissions_Exceed_Kyoto_Prot"/>
      <w:bookmarkStart w:id="9" w:name="_New_EU_Member_States_Challenge_Emis"/>
      <w:bookmarkStart w:id="10" w:name="_Bush_Administration_Will_Seek_New_G"/>
      <w:bookmarkStart w:id="11" w:name="_Senate_Cap-And-Trade_Bill_Introduce"/>
      <w:bookmarkStart w:id="12" w:name="_Senate_Cap-And-Trade_Bill_Approved_"/>
      <w:bookmarkStart w:id="13" w:name="_Senate_Committee_Approves"/>
      <w:bookmarkStart w:id="14" w:name="_Representative_Says_Bush_Administra"/>
      <w:bookmarkStart w:id="15" w:name="_CBO_Reaffirms_Benefits_Of_Tax_Over_"/>
      <w:bookmarkStart w:id="16" w:name="_U.S._Hosts_Climate_Change_Meeting"/>
      <w:bookmarkStart w:id="17" w:name="_House_Bill_Would_Avoid_Auction_Of_C"/>
      <w:bookmarkStart w:id="18" w:name="_U.S._Committed_To_Negotiating_Post-"/>
      <w:bookmarkStart w:id="19" w:name="_Joint_Commission_Recommends_Additio"/>
      <w:bookmarkStart w:id="20" w:name="_EPA_Sued_For_Denying_Petition_Regar"/>
      <w:bookmarkStart w:id="21" w:name="_Cap-And-Trade_Legislation_Introduce"/>
      <w:bookmarkStart w:id="22" w:name="_Senate_Committee_Approves_Bill_Dire"/>
      <w:bookmarkStart w:id="23" w:name="_EPA_Releases_2005_TRI_Data"/>
      <w:bookmarkStart w:id="24" w:name="_EPA_Decides_To_Maintain_Reporting_F"/>
      <w:bookmarkStart w:id="25" w:name="_Senators_Request_GAO_Investigation_"/>
      <w:bookmarkStart w:id="26" w:name="_House_Blocks_EPA’s_Proposed_Changes"/>
      <w:bookmarkStart w:id="27" w:name="_EPA_Proposes_To_Survey_LEPCs"/>
      <w:bookmarkStart w:id="28" w:name="_EPA_Proposes_TRI_Burden_Reduction_R"/>
      <w:bookmarkStart w:id="29" w:name="_EPA_Releases_Reporting_Year_2004_TR"/>
      <w:bookmarkStart w:id="30" w:name="_EPA_Amends_TRI_Regulations_To_Inclu"/>
      <w:bookmarkStart w:id="31" w:name="_SAB_Committee_Sends_EPA_Unsolicited"/>
      <w:bookmarkStart w:id="32" w:name="_SAB_Committee_Considers_Sending_EPA"/>
      <w:bookmarkStart w:id="33" w:name="_EPA_Intends_To_Develop_Two-Year_TRI"/>
      <w:bookmarkStart w:id="34" w:name="_EPA_Revises_TRI_Forms_And_Regulatio"/>
      <w:bookmarkStart w:id="35" w:name="_EPA_Releases_2003_TRI_Data"/>
      <w:bookmarkStart w:id="36" w:name="_EPA_Prepares_Revisions_To_TRI_Forms"/>
      <w:bookmarkStart w:id="37" w:name="_Status_Of_Litigation_Challenging_Th_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748538EB" w14:textId="77777777" w:rsidR="000B0E2B" w:rsidRPr="0046677E" w:rsidRDefault="00264ADC" w:rsidP="007707A1">
      <w:pPr>
        <w:widowControl/>
        <w:jc w:val="center"/>
        <w:rPr>
          <w:b/>
        </w:rPr>
      </w:pPr>
      <w:bookmarkStart w:id="38" w:name="_DOI_Issues_ANPRM"/>
      <w:bookmarkEnd w:id="38"/>
      <w:r w:rsidRPr="0046677E">
        <w:rPr>
          <w:b/>
        </w:rPr>
        <w:t>MINING AND MINERAL ISSUES</w:t>
      </w:r>
    </w:p>
    <w:p w14:paraId="35E5986A" w14:textId="77777777" w:rsidR="000B0E2B" w:rsidRPr="0046677E" w:rsidRDefault="000B0E2B" w:rsidP="007707A1">
      <w:pPr>
        <w:widowControl/>
      </w:pPr>
    </w:p>
    <w:p w14:paraId="4414FCE4" w14:textId="77777777" w:rsidR="000B0E2B" w:rsidRPr="0046677E" w:rsidRDefault="00264ADC" w:rsidP="007707A1">
      <w:pPr>
        <w:widowControl/>
        <w:rPr>
          <w:b/>
        </w:rPr>
      </w:pPr>
      <w:r w:rsidRPr="0046677E">
        <w:rPr>
          <w:b/>
        </w:rPr>
        <w:t>USDA Publishes Notice Concerning Locatable Minerals</w:t>
      </w:r>
    </w:p>
    <w:p w14:paraId="74367D42" w14:textId="77777777" w:rsidR="000B0E2B" w:rsidRPr="0046677E" w:rsidRDefault="000B0E2B" w:rsidP="007707A1">
      <w:pPr>
        <w:widowControl/>
      </w:pPr>
    </w:p>
    <w:p w14:paraId="69704349" w14:textId="77777777" w:rsidR="000B0E2B" w:rsidRPr="0046677E" w:rsidRDefault="00264ADC" w:rsidP="007707A1">
      <w:pPr>
        <w:widowControl/>
      </w:pPr>
      <w:r w:rsidRPr="0046677E">
        <w:t xml:space="preserve">USDA published a </w:t>
      </w:r>
      <w:hyperlink r:id="rId11" w:history="1">
        <w:r w:rsidRPr="0046677E">
          <w:rPr>
            <w:rStyle w:val="Hyperlink"/>
            <w:i/>
          </w:rPr>
          <w:t>Federal Register</w:t>
        </w:r>
        <w:r w:rsidRPr="0046677E">
          <w:rPr>
            <w:rStyle w:val="Hyperlink"/>
          </w:rPr>
          <w:t xml:space="preserve"> notice</w:t>
        </w:r>
      </w:hyperlink>
      <w:r w:rsidRPr="0046677E">
        <w:t xml:space="preserve"> on April 1, 2020, announcing that it is initiating an EIS to inform a decision to revise agency regulations that minimize adverse environmental impacts on National Forest System surface resources in connection with operations authorized by U.S. mining laws.  These rules and procedures govern prospecting, exploration, development, mining, and processing operations conducted on National Forest System lands authorized by the U.S. mining laws, subsequent reclamation of the land, and any necessary long-term post-closure resource management.  According to the notice, a proposed rule and draft EIS are expected in </w:t>
      </w:r>
      <w:r w:rsidRPr="0046677E">
        <w:rPr>
          <w:b/>
        </w:rPr>
        <w:t>2020</w:t>
      </w:r>
      <w:r w:rsidRPr="0046677E">
        <w:t>.  The next public comment period will be announced when the proposed rule and draft EIS are available.</w:t>
      </w:r>
    </w:p>
    <w:p w14:paraId="12D24088" w14:textId="77777777" w:rsidR="000B0E2B" w:rsidRPr="0046677E" w:rsidRDefault="000B0E2B" w:rsidP="007707A1"/>
    <w:p w14:paraId="2702624C" w14:textId="77777777" w:rsidR="000B0E2B" w:rsidRPr="0046677E" w:rsidRDefault="00264ADC" w:rsidP="007707A1">
      <w:r w:rsidRPr="0046677E">
        <w:t>As reported in our September 28, 2018, Update, the Forest Service published an ANPRM on September 13, 2018, requesting comments regarding the need to clarify its regulations that minimize adverse environmental impacts on National Forest System surface resources in connection with operations authorized by U.S. mining laws.  According to the notice, the goals of the regulatory revision are to expedite Forest Service review of certain proposed mineral operations authorized by U.S. mining laws, and, where applicable, Forest Service approval of some of these proposals by clarifying the regulations, to increase consistency with BLM surface management regulations governing operations authorized by U.S. mining laws to assist those who conduct these operations on lands managed by each agency, and to increase the Forest Service’s nationwide consistency in regulating mineral operations authorized by U.S. mining laws by clarifying its regulations.  The Forest Service states that the Mining Law authorizes the prospecting, exploration, location, development, mining, and processing of valuable “locatable” mineral deposits on National Forest System lands reserved from the public domain.  “Locatable” minerals are base and precious metal ores, ferrous metal ores, and certain classes of industrial minerals that include, but are not limited to, gold, silver, platinum, copper, lead, zinc, magnesium, nickel, tungsten, bentonite, barite, fluorspar, uranium, and uncommon varieties of sand, gravel, and dimension stone.</w:t>
      </w:r>
    </w:p>
    <w:p w14:paraId="2181BCA0" w14:textId="77777777" w:rsidR="000B0E2B" w:rsidRPr="0046677E" w:rsidRDefault="000B0E2B" w:rsidP="007707A1"/>
    <w:p w14:paraId="092E16C0" w14:textId="77777777" w:rsidR="000B0E2B" w:rsidRPr="0046677E" w:rsidRDefault="00264ADC" w:rsidP="00534990">
      <w:pPr>
        <w:keepNext/>
        <w:keepLines/>
        <w:jc w:val="center"/>
        <w:rPr>
          <w:b/>
        </w:rPr>
      </w:pPr>
      <w:r w:rsidRPr="0046677E">
        <w:rPr>
          <w:b/>
        </w:rPr>
        <w:lastRenderedPageBreak/>
        <w:t>TSCA ISSUES</w:t>
      </w:r>
    </w:p>
    <w:p w14:paraId="482B884F" w14:textId="77777777" w:rsidR="000B0E2B" w:rsidRPr="0046677E" w:rsidRDefault="000B0E2B" w:rsidP="00534990">
      <w:pPr>
        <w:keepNext/>
        <w:keepLines/>
      </w:pPr>
    </w:p>
    <w:p w14:paraId="49192041" w14:textId="77777777" w:rsidR="000B0E2B" w:rsidRPr="0046677E" w:rsidRDefault="00264ADC" w:rsidP="00534990">
      <w:pPr>
        <w:keepNext/>
        <w:keepLines/>
        <w:rPr>
          <w:b/>
        </w:rPr>
      </w:pPr>
      <w:r w:rsidRPr="004305F2">
        <w:rPr>
          <w:b/>
          <w:highlight w:val="yellow"/>
        </w:rPr>
        <w:t xml:space="preserve">EPA Amends CDR Rule </w:t>
      </w:r>
      <w:proofErr w:type="gramStart"/>
      <w:r w:rsidRPr="004305F2">
        <w:rPr>
          <w:b/>
          <w:highlight w:val="yellow"/>
        </w:rPr>
        <w:t>And</w:t>
      </w:r>
      <w:proofErr w:type="gramEnd"/>
      <w:r w:rsidRPr="004305F2">
        <w:rPr>
          <w:b/>
          <w:highlight w:val="yellow"/>
        </w:rPr>
        <w:t xml:space="preserve"> Extends 2020 Submission Period</w:t>
      </w:r>
    </w:p>
    <w:p w14:paraId="63F74A7B" w14:textId="77777777" w:rsidR="000B0E2B" w:rsidRPr="0046677E" w:rsidRDefault="000B0E2B" w:rsidP="00534990">
      <w:pPr>
        <w:keepNext/>
        <w:keepLines/>
      </w:pPr>
    </w:p>
    <w:p w14:paraId="20F14DF7" w14:textId="77777777" w:rsidR="000B0E2B" w:rsidRPr="0046677E" w:rsidRDefault="00264ADC" w:rsidP="00534990">
      <w:pPr>
        <w:pStyle w:val="NormalWeb"/>
        <w:keepNext/>
        <w:keepLines/>
        <w:spacing w:before="0" w:beforeAutospacing="0" w:after="0" w:afterAutospacing="0"/>
        <w:jc w:val="both"/>
        <w:rPr>
          <w:rFonts w:ascii="Times New Roman" w:hAnsi="Times New Roman" w:cs="Times New Roman"/>
        </w:rPr>
      </w:pPr>
      <w:r w:rsidRPr="0046677E">
        <w:rPr>
          <w:rFonts w:ascii="Times New Roman" w:hAnsi="Times New Roman" w:cs="Times New Roman"/>
        </w:rPr>
        <w:t xml:space="preserve">On April 9, 2020, EPA published in the </w:t>
      </w:r>
      <w:r w:rsidRPr="0046677E">
        <w:rPr>
          <w:rFonts w:ascii="Times New Roman" w:hAnsi="Times New Roman" w:cs="Times New Roman"/>
          <w:i/>
        </w:rPr>
        <w:t>Federal Register</w:t>
      </w:r>
      <w:r w:rsidRPr="0046677E">
        <w:rPr>
          <w:rFonts w:ascii="Times New Roman" w:hAnsi="Times New Roman" w:cs="Times New Roman"/>
        </w:rPr>
        <w:t xml:space="preserve"> a </w:t>
      </w:r>
      <w:hyperlink r:id="rId12" w:history="1">
        <w:r w:rsidRPr="0046677E">
          <w:rPr>
            <w:rStyle w:val="Hyperlink"/>
            <w:rFonts w:cs="Times New Roman"/>
          </w:rPr>
          <w:t>final rule</w:t>
        </w:r>
      </w:hyperlink>
      <w:r w:rsidRPr="0046677E">
        <w:rPr>
          <w:rFonts w:ascii="Times New Roman" w:hAnsi="Times New Roman" w:cs="Times New Roman"/>
        </w:rPr>
        <w:t xml:space="preserve"> amending the CDR rule.  As reported in our March 28, 2020, Update, according to EPA, the amendments are intended to reduce the burden for certain CDR reporters, improve the quality of CDR data collected, and align reporting requirements with the Lautenberg Act amendments to TSCA.  EPA states that some of the key revisions include:</w:t>
      </w:r>
    </w:p>
    <w:p w14:paraId="6448CB2E" w14:textId="77777777" w:rsidR="000B0E2B" w:rsidRPr="0046677E" w:rsidRDefault="000B0E2B" w:rsidP="007707A1">
      <w:pPr>
        <w:pStyle w:val="NormalWeb"/>
        <w:spacing w:before="0" w:beforeAutospacing="0" w:after="0" w:afterAutospacing="0"/>
        <w:jc w:val="both"/>
        <w:rPr>
          <w:rFonts w:ascii="Times New Roman" w:hAnsi="Times New Roman" w:cs="Times New Roman"/>
        </w:rPr>
      </w:pPr>
    </w:p>
    <w:p w14:paraId="57A7845E" w14:textId="77777777" w:rsidR="000B0E2B" w:rsidRPr="0046677E" w:rsidRDefault="00264ADC" w:rsidP="007707A1">
      <w:pPr>
        <w:pStyle w:val="ListParagraph"/>
        <w:numPr>
          <w:ilvl w:val="0"/>
          <w:numId w:val="9"/>
        </w:numPr>
        <w:spacing w:after="0" w:line="240" w:lineRule="auto"/>
        <w:ind w:left="1440" w:right="720" w:hanging="720"/>
        <w:jc w:val="both"/>
      </w:pPr>
      <w:r w:rsidRPr="0046677E">
        <w:t xml:space="preserve">Simplifying reporting, including allowing manufacturers to use certain processing and use data codes already in use by many chemical manufacturers as part of international codes developed through </w:t>
      </w:r>
      <w:proofErr w:type="gramStart"/>
      <w:r w:rsidRPr="0046677E">
        <w:t>OECD;</w:t>
      </w:r>
      <w:proofErr w:type="gramEnd"/>
    </w:p>
    <w:p w14:paraId="508DF020" w14:textId="77777777" w:rsidR="000B0E2B" w:rsidRPr="0046677E" w:rsidRDefault="000B0E2B" w:rsidP="007707A1">
      <w:pPr>
        <w:ind w:left="720" w:right="720" w:hanging="720"/>
      </w:pPr>
    </w:p>
    <w:p w14:paraId="7041DDA1" w14:textId="77777777" w:rsidR="000B0E2B" w:rsidRPr="0046677E" w:rsidRDefault="00264ADC" w:rsidP="007707A1">
      <w:pPr>
        <w:pStyle w:val="ListParagraph"/>
        <w:numPr>
          <w:ilvl w:val="0"/>
          <w:numId w:val="9"/>
        </w:numPr>
        <w:spacing w:after="0" w:line="240" w:lineRule="auto"/>
        <w:ind w:left="1440" w:right="720" w:hanging="720"/>
        <w:jc w:val="both"/>
      </w:pPr>
      <w:r w:rsidRPr="0046677E">
        <w:t>Updating requirements for making confidentiality claims to align with the requirements in amended TSCA; and</w:t>
      </w:r>
    </w:p>
    <w:p w14:paraId="29E059CF" w14:textId="77777777" w:rsidR="000B0E2B" w:rsidRPr="0046677E" w:rsidRDefault="000B0E2B" w:rsidP="007707A1">
      <w:pPr>
        <w:pStyle w:val="ListParagraph"/>
        <w:spacing w:after="0" w:line="240" w:lineRule="auto"/>
        <w:ind w:hanging="720"/>
        <w:jc w:val="both"/>
      </w:pPr>
    </w:p>
    <w:p w14:paraId="1EE21878" w14:textId="77777777" w:rsidR="000B0E2B" w:rsidRPr="0046677E" w:rsidRDefault="00264ADC" w:rsidP="007707A1">
      <w:pPr>
        <w:pStyle w:val="ListParagraph"/>
        <w:numPr>
          <w:ilvl w:val="0"/>
          <w:numId w:val="9"/>
        </w:numPr>
        <w:spacing w:after="0" w:line="240" w:lineRule="auto"/>
        <w:ind w:left="1440" w:right="720" w:hanging="720"/>
        <w:jc w:val="both"/>
      </w:pPr>
      <w:r w:rsidRPr="0046677E">
        <w:t>Adding reporting exemptions for specific types of byproducts manufactured in certain equipment.</w:t>
      </w:r>
    </w:p>
    <w:p w14:paraId="62D164E5" w14:textId="77777777" w:rsidR="000B0E2B" w:rsidRPr="0046677E" w:rsidRDefault="000B0E2B" w:rsidP="007707A1"/>
    <w:p w14:paraId="161892F7" w14:textId="77777777" w:rsidR="000B0E2B" w:rsidRPr="0046677E" w:rsidRDefault="00264ADC" w:rsidP="007707A1">
      <w:pPr>
        <w:pStyle w:val="NormalWeb"/>
        <w:spacing w:before="0" w:beforeAutospacing="0" w:after="0" w:afterAutospacing="0"/>
        <w:jc w:val="both"/>
        <w:rPr>
          <w:rFonts w:ascii="Times New Roman" w:hAnsi="Times New Roman" w:cs="Times New Roman"/>
        </w:rPr>
      </w:pPr>
      <w:r w:rsidRPr="0046677E">
        <w:rPr>
          <w:rFonts w:ascii="Times New Roman" w:hAnsi="Times New Roman" w:cs="Times New Roman"/>
        </w:rPr>
        <w:t xml:space="preserve">Additionally, EPA is </w:t>
      </w:r>
      <w:hyperlink r:id="rId13" w:history="1">
        <w:r w:rsidRPr="0046677E">
          <w:rPr>
            <w:rStyle w:val="Hyperlink"/>
            <w:rFonts w:cs="Times New Roman"/>
          </w:rPr>
          <w:t>extending the reporting period</w:t>
        </w:r>
      </w:hyperlink>
      <w:r w:rsidRPr="0046677E">
        <w:rPr>
          <w:rFonts w:ascii="Times New Roman" w:hAnsi="Times New Roman" w:cs="Times New Roman"/>
        </w:rPr>
        <w:t xml:space="preserve"> for CDR data submitters from </w:t>
      </w:r>
      <w:r w:rsidRPr="0046677E">
        <w:rPr>
          <w:rStyle w:val="Strong"/>
          <w:rFonts w:ascii="Times New Roman" w:hAnsi="Times New Roman" w:cs="Times New Roman"/>
        </w:rPr>
        <w:t>September 30, 2020</w:t>
      </w:r>
      <w:r w:rsidRPr="0046677E">
        <w:rPr>
          <w:rFonts w:ascii="Times New Roman" w:hAnsi="Times New Roman" w:cs="Times New Roman"/>
        </w:rPr>
        <w:t xml:space="preserve">, to </w:t>
      </w:r>
      <w:r w:rsidRPr="0046677E">
        <w:rPr>
          <w:rStyle w:val="Strong"/>
          <w:rFonts w:ascii="Times New Roman" w:hAnsi="Times New Roman" w:cs="Times New Roman"/>
        </w:rPr>
        <w:t>November 30, 2020</w:t>
      </w:r>
      <w:r w:rsidRPr="0046677E">
        <w:rPr>
          <w:rFonts w:ascii="Times New Roman" w:hAnsi="Times New Roman" w:cs="Times New Roman"/>
        </w:rPr>
        <w:t xml:space="preserve">, to provide additional time for the regulated community to familiarize themselves with the amendments and to allow time for reporters to familiarize themselves with an updated public version of the reporting tool.  The reporting period will still begin on </w:t>
      </w:r>
      <w:r w:rsidRPr="0046677E">
        <w:rPr>
          <w:rStyle w:val="Strong"/>
          <w:rFonts w:ascii="Times New Roman" w:hAnsi="Times New Roman" w:cs="Times New Roman"/>
        </w:rPr>
        <w:t>June 1, 2020</w:t>
      </w:r>
      <w:r w:rsidRPr="0046677E">
        <w:rPr>
          <w:rFonts w:ascii="Times New Roman" w:hAnsi="Times New Roman" w:cs="Times New Roman"/>
        </w:rPr>
        <w:t>.  More information is available in B&amp;C</w:t>
      </w:r>
      <w:r w:rsidRPr="0046677E">
        <w:rPr>
          <w:rFonts w:ascii="Times New Roman" w:hAnsi="Times New Roman" w:cs="Times New Roman"/>
          <w:vertAlign w:val="superscript"/>
        </w:rPr>
        <w:t>®</w:t>
      </w:r>
      <w:r w:rsidRPr="0046677E">
        <w:rPr>
          <w:rFonts w:ascii="Times New Roman" w:hAnsi="Times New Roman" w:cs="Times New Roman"/>
        </w:rPr>
        <w:t>’s March 19, 2020, memorandum, “</w:t>
      </w:r>
      <w:hyperlink r:id="rId14" w:history="1">
        <w:r w:rsidRPr="0046677E">
          <w:rPr>
            <w:rStyle w:val="Hyperlink"/>
            <w:rFonts w:cs="Times New Roman"/>
          </w:rPr>
          <w:t>EPA Releases Final Amendments to CDR Rule, Extends Reporting Period</w:t>
        </w:r>
      </w:hyperlink>
      <w:r w:rsidRPr="0046677E">
        <w:rPr>
          <w:rFonts w:ascii="Times New Roman" w:hAnsi="Times New Roman" w:cs="Times New Roman"/>
        </w:rPr>
        <w:t>.”</w:t>
      </w:r>
    </w:p>
    <w:p w14:paraId="47CAC52D" w14:textId="77777777" w:rsidR="000B0E2B" w:rsidRPr="0046677E" w:rsidRDefault="000B0E2B" w:rsidP="007707A1">
      <w:pPr>
        <w:pStyle w:val="NormalWeb"/>
        <w:spacing w:before="0" w:beforeAutospacing="0" w:after="0" w:afterAutospacing="0"/>
        <w:jc w:val="both"/>
        <w:rPr>
          <w:rFonts w:ascii="Times New Roman" w:hAnsi="Times New Roman" w:cs="Times New Roman"/>
        </w:rPr>
      </w:pPr>
    </w:p>
    <w:p w14:paraId="48FB3912" w14:textId="77777777" w:rsidR="000B0E2B" w:rsidRPr="0046677E" w:rsidRDefault="00264ADC" w:rsidP="007707A1">
      <w:r w:rsidRPr="0046677E">
        <w:t xml:space="preserve">As reported in our May 28, 2019, Update, EPA’s April 12, 2019, proposed rule would have allowed reporting in specified metal categories for inorganic byproducts, including </w:t>
      </w:r>
      <w:r w:rsidRPr="0046677E">
        <w:rPr>
          <w:b/>
        </w:rPr>
        <w:t>cadmium</w:t>
      </w:r>
      <w:r w:rsidRPr="0046677E">
        <w:t xml:space="preserve"> and </w:t>
      </w:r>
      <w:r w:rsidRPr="0046677E">
        <w:rPr>
          <w:b/>
        </w:rPr>
        <w:t>cadmium compounds</w:t>
      </w:r>
      <w:r w:rsidRPr="0046677E">
        <w:t xml:space="preserve"> (including any unique chemical substance that contains </w:t>
      </w:r>
      <w:r w:rsidRPr="0046677E">
        <w:rPr>
          <w:b/>
        </w:rPr>
        <w:t>cadmium</w:t>
      </w:r>
      <w:r w:rsidRPr="0046677E">
        <w:t xml:space="preserve"> as part of that chemical’s structure).  In the final rule, EPA declined to adopt the proposal to allow, but not require, CDR reporting within defined metal compound categories for certain elemental metals and inorganic metal compounds that are produced as inorganic byproducts.  EPA states that it determined that the potential for additional complexity and burden associated with category reporting for inorganic metal byproducts outweighs the potential benefits.  Accordingly, </w:t>
      </w:r>
      <w:r w:rsidRPr="005724D3">
        <w:rPr>
          <w:highlight w:val="yellow"/>
        </w:rPr>
        <w:t>the final rule does not include the proposed provision for alternative reporting in metal compound categories for inorganic byproducts</w:t>
      </w:r>
      <w:r w:rsidRPr="0046677E">
        <w:t>.</w:t>
      </w:r>
    </w:p>
    <w:p w14:paraId="68C94CB1" w14:textId="77777777" w:rsidR="000B0E2B" w:rsidRPr="0046677E" w:rsidRDefault="000B0E2B" w:rsidP="007707A1"/>
    <w:p w14:paraId="0D900463" w14:textId="77777777" w:rsidR="000B0E2B" w:rsidRPr="0046677E" w:rsidRDefault="00264ADC" w:rsidP="00740886">
      <w:pPr>
        <w:keepNext/>
        <w:keepLines/>
        <w:widowControl/>
        <w:jc w:val="center"/>
        <w:rPr>
          <w:b/>
        </w:rPr>
      </w:pPr>
      <w:bookmarkStart w:id="39" w:name="_Mine_Cleanup_Safety"/>
      <w:bookmarkStart w:id="40" w:name="_EPA_Announces_National"/>
      <w:bookmarkStart w:id="41" w:name="_Senate_Begins_To"/>
      <w:bookmarkStart w:id="42" w:name="_MSHA_Preparing_Rule"/>
      <w:bookmarkStart w:id="43" w:name="_MSHA_Proposes_To"/>
      <w:bookmarkStart w:id="44" w:name="_House_Passes_Package"/>
      <w:bookmarkStart w:id="45" w:name="_OIG_Pauses_Program"/>
      <w:bookmarkStart w:id="46" w:name="_GAO_Recommends_Federal"/>
      <w:bookmarkStart w:id="47" w:name="_President-Elect_Trump_Pledges"/>
      <w:bookmarkStart w:id="48" w:name="_House_Committee_Claims"/>
      <w:bookmarkEnd w:id="39"/>
      <w:bookmarkEnd w:id="40"/>
      <w:bookmarkEnd w:id="41"/>
      <w:bookmarkEnd w:id="42"/>
      <w:bookmarkEnd w:id="43"/>
      <w:bookmarkEnd w:id="44"/>
      <w:bookmarkEnd w:id="45"/>
      <w:bookmarkEnd w:id="46"/>
      <w:bookmarkEnd w:id="47"/>
      <w:bookmarkEnd w:id="48"/>
      <w:r w:rsidRPr="0046677E">
        <w:rPr>
          <w:b/>
        </w:rPr>
        <w:lastRenderedPageBreak/>
        <w:t>MISCELLANEOUS ISSUES</w:t>
      </w:r>
    </w:p>
    <w:p w14:paraId="6904F486" w14:textId="77777777" w:rsidR="000B0E2B" w:rsidRPr="0046677E" w:rsidRDefault="000B0E2B" w:rsidP="00740886">
      <w:pPr>
        <w:keepNext/>
        <w:keepLines/>
      </w:pPr>
    </w:p>
    <w:p w14:paraId="7E25991C" w14:textId="77777777" w:rsidR="000B0E2B" w:rsidRPr="0046677E" w:rsidRDefault="00264ADC" w:rsidP="00740886">
      <w:pPr>
        <w:keepNext/>
        <w:keepLines/>
        <w:rPr>
          <w:b/>
        </w:rPr>
      </w:pPr>
      <w:r w:rsidRPr="00694B0B">
        <w:rPr>
          <w:b/>
        </w:rPr>
        <w:t xml:space="preserve">ATSDR Requests Comments </w:t>
      </w:r>
      <w:proofErr w:type="gramStart"/>
      <w:r w:rsidRPr="00694B0B">
        <w:rPr>
          <w:b/>
        </w:rPr>
        <w:t>On</w:t>
      </w:r>
      <w:proofErr w:type="gramEnd"/>
      <w:r w:rsidRPr="00694B0B">
        <w:rPr>
          <w:b/>
        </w:rPr>
        <w:t xml:space="preserve"> Proposed Substances To Be Evaluated For Toxicological Profile Development</w:t>
      </w:r>
    </w:p>
    <w:p w14:paraId="036FBE9D" w14:textId="77777777" w:rsidR="000B0E2B" w:rsidRPr="0046677E" w:rsidRDefault="000B0E2B" w:rsidP="00740886">
      <w:pPr>
        <w:keepNext/>
        <w:keepLines/>
      </w:pPr>
    </w:p>
    <w:p w14:paraId="70F02ED3" w14:textId="77777777" w:rsidR="000B0E2B" w:rsidRPr="0046677E" w:rsidRDefault="00264ADC" w:rsidP="00740886">
      <w:pPr>
        <w:keepNext/>
        <w:keepLines/>
      </w:pPr>
      <w:r w:rsidRPr="0046677E">
        <w:t xml:space="preserve">ATSDR published a </w:t>
      </w:r>
      <w:hyperlink r:id="rId15" w:history="1">
        <w:r w:rsidRPr="0046677E">
          <w:rPr>
            <w:rStyle w:val="Hyperlink"/>
            <w:i/>
          </w:rPr>
          <w:t>Federal Register</w:t>
        </w:r>
        <w:r w:rsidRPr="0046677E">
          <w:rPr>
            <w:rStyle w:val="Hyperlink"/>
          </w:rPr>
          <w:t xml:space="preserve"> notice</w:t>
        </w:r>
      </w:hyperlink>
      <w:r w:rsidRPr="0046677E">
        <w:t xml:space="preserve"> on May 28, 2020, soliciting public nominations of substances to be evaluated for Toxicological Profile development.  ATSDR will consider nominations from the </w:t>
      </w:r>
      <w:hyperlink r:id="rId16" w:history="1">
        <w:r w:rsidRPr="0046677E">
          <w:rPr>
            <w:rStyle w:val="Hyperlink"/>
          </w:rPr>
          <w:t>Substance Priority List</w:t>
        </w:r>
      </w:hyperlink>
      <w:r w:rsidRPr="0046677E">
        <w:t xml:space="preserve">.  </w:t>
      </w:r>
      <w:r w:rsidRPr="0046677E">
        <w:rPr>
          <w:b/>
        </w:rPr>
        <w:t>Cadmium</w:t>
      </w:r>
      <w:r w:rsidRPr="0046677E">
        <w:t xml:space="preserve"> is ranked seventh on the Substance Priority List, and the most recent </w:t>
      </w:r>
      <w:hyperlink r:id="rId17" w:history="1">
        <w:r w:rsidRPr="0046677E">
          <w:rPr>
            <w:rStyle w:val="Hyperlink"/>
          </w:rPr>
          <w:t xml:space="preserve">Toxicological Profile for </w:t>
        </w:r>
        <w:r w:rsidRPr="0046677E">
          <w:rPr>
            <w:rStyle w:val="Hyperlink"/>
            <w:b/>
          </w:rPr>
          <w:t>cadmium</w:t>
        </w:r>
      </w:hyperlink>
      <w:r w:rsidRPr="0046677E">
        <w:t xml:space="preserve"> was published in 2012.  ATSDR will also accept nominations for non-CERCLA substances that may have public health implications, </w:t>
      </w:r>
      <w:proofErr w:type="gramStart"/>
      <w:r w:rsidRPr="0046677E">
        <w:t>on the basis of</w:t>
      </w:r>
      <w:proofErr w:type="gramEnd"/>
      <w:r w:rsidRPr="0046677E">
        <w:t xml:space="preserve"> ATSDR’s authority to prepare Toxicological Profiles for substances not found at sites on the CERCLA National Priorities List.  ATSDR states that it will do so to establish and maintain an inventory of literature, research, and studies on the health effects of toxic substances, to respond to requests for consultation, and to support the site-specific response actions conducted by ATSDR, as otherwise necessary.  Nominations are due </w:t>
      </w:r>
      <w:r w:rsidRPr="0046677E">
        <w:rPr>
          <w:b/>
        </w:rPr>
        <w:t>June 29, 2020</w:t>
      </w:r>
      <w:r w:rsidRPr="0046677E">
        <w:t>.</w:t>
      </w:r>
    </w:p>
    <w:p w14:paraId="494151C8" w14:textId="77777777" w:rsidR="000B0E2B" w:rsidRPr="0046677E" w:rsidRDefault="000B0E2B" w:rsidP="007707A1"/>
    <w:p w14:paraId="69EB4CAE" w14:textId="17A1184A" w:rsidR="000B0E2B" w:rsidRPr="0046677E" w:rsidRDefault="00264ADC" w:rsidP="007707A1">
      <w:pPr>
        <w:rPr>
          <w:b/>
        </w:rPr>
      </w:pPr>
      <w:r w:rsidRPr="00694B0B">
        <w:rPr>
          <w:b/>
          <w:highlight w:val="yellow"/>
        </w:rPr>
        <w:t xml:space="preserve">Carter’s Includes Cadmium </w:t>
      </w:r>
      <w:proofErr w:type="gramStart"/>
      <w:r w:rsidRPr="00694B0B">
        <w:rPr>
          <w:b/>
          <w:highlight w:val="yellow"/>
        </w:rPr>
        <w:t>On</w:t>
      </w:r>
      <w:proofErr w:type="gramEnd"/>
      <w:r w:rsidRPr="00694B0B">
        <w:rPr>
          <w:b/>
          <w:highlight w:val="yellow"/>
        </w:rPr>
        <w:t xml:space="preserve"> RSL</w:t>
      </w:r>
      <w:r w:rsidR="0010689F" w:rsidRPr="00694B0B">
        <w:rPr>
          <w:b/>
          <w:highlight w:val="yellow"/>
        </w:rPr>
        <w:t xml:space="preserve"> (Restricted Substance List)</w:t>
      </w:r>
    </w:p>
    <w:p w14:paraId="02E9A60D" w14:textId="77777777" w:rsidR="000B0E2B" w:rsidRPr="0046677E" w:rsidRDefault="000B0E2B" w:rsidP="007707A1"/>
    <w:p w14:paraId="5893F758" w14:textId="77777777" w:rsidR="000B0E2B" w:rsidRPr="0046677E" w:rsidRDefault="00264ADC" w:rsidP="007707A1">
      <w:r w:rsidRPr="009F79EB">
        <w:rPr>
          <w:highlight w:val="yellow"/>
        </w:rPr>
        <w:t xml:space="preserve">Carter’s released an </w:t>
      </w:r>
      <w:hyperlink r:id="rId18" w:history="1">
        <w:r w:rsidRPr="009F79EB">
          <w:rPr>
            <w:rStyle w:val="Hyperlink"/>
            <w:highlight w:val="yellow"/>
          </w:rPr>
          <w:t>RSL</w:t>
        </w:r>
      </w:hyperlink>
      <w:r w:rsidRPr="009F79EB">
        <w:rPr>
          <w:highlight w:val="yellow"/>
        </w:rPr>
        <w:t xml:space="preserve"> designating chemicals that should be minimized or avoided as much as possible in Carter’s products.  The RSL includes </w:t>
      </w:r>
      <w:r w:rsidRPr="009F79EB">
        <w:rPr>
          <w:b/>
          <w:highlight w:val="yellow"/>
        </w:rPr>
        <w:t>cadmium</w:t>
      </w:r>
      <w:r w:rsidRPr="009F79EB">
        <w:rPr>
          <w:highlight w:val="yellow"/>
        </w:rPr>
        <w:t>:</w:t>
      </w:r>
    </w:p>
    <w:p w14:paraId="3F84D4C5" w14:textId="77777777" w:rsidR="000B0E2B" w:rsidRPr="0046677E" w:rsidRDefault="000B0E2B" w:rsidP="007707A1"/>
    <w:tbl>
      <w:tblPr>
        <w:tblStyle w:val="TableGrid"/>
        <w:tblW w:w="0" w:type="auto"/>
        <w:tblLook w:val="04A0" w:firstRow="1" w:lastRow="0" w:firstColumn="1" w:lastColumn="0" w:noHBand="0" w:noVBand="1"/>
      </w:tblPr>
      <w:tblGrid>
        <w:gridCol w:w="1276"/>
        <w:gridCol w:w="1600"/>
        <w:gridCol w:w="2853"/>
        <w:gridCol w:w="1931"/>
        <w:gridCol w:w="1690"/>
      </w:tblGrid>
      <w:tr w:rsidR="000B0E2B" w:rsidRPr="0046677E" w14:paraId="3B3B0AF2" w14:textId="77777777">
        <w:tc>
          <w:tcPr>
            <w:tcW w:w="1278" w:type="dxa"/>
          </w:tcPr>
          <w:p w14:paraId="65E36653" w14:textId="77777777" w:rsidR="000B0E2B" w:rsidRPr="0046677E" w:rsidRDefault="00264ADC" w:rsidP="007707A1">
            <w:pPr>
              <w:rPr>
                <w:b/>
              </w:rPr>
            </w:pPr>
            <w:r w:rsidRPr="0046677E">
              <w:rPr>
                <w:b/>
              </w:rPr>
              <w:t>Substance</w:t>
            </w:r>
          </w:p>
        </w:tc>
        <w:tc>
          <w:tcPr>
            <w:tcW w:w="1620" w:type="dxa"/>
          </w:tcPr>
          <w:p w14:paraId="5FD97968" w14:textId="77777777" w:rsidR="000B0E2B" w:rsidRPr="0046677E" w:rsidRDefault="00264ADC" w:rsidP="007707A1">
            <w:pPr>
              <w:rPr>
                <w:b/>
              </w:rPr>
            </w:pPr>
            <w:r w:rsidRPr="0046677E">
              <w:rPr>
                <w:b/>
              </w:rPr>
              <w:t>Limits</w:t>
            </w:r>
          </w:p>
          <w:p w14:paraId="35138344" w14:textId="77777777" w:rsidR="000B0E2B" w:rsidRPr="0046677E" w:rsidRDefault="00264ADC" w:rsidP="007707A1">
            <w:r w:rsidRPr="0046677E">
              <w:t>Raw Material and Finished Product</w:t>
            </w:r>
          </w:p>
        </w:tc>
        <w:tc>
          <w:tcPr>
            <w:tcW w:w="2970" w:type="dxa"/>
          </w:tcPr>
          <w:p w14:paraId="489FA48A" w14:textId="77777777" w:rsidR="000B0E2B" w:rsidRPr="0046677E" w:rsidRDefault="00264ADC" w:rsidP="007707A1">
            <w:pPr>
              <w:rPr>
                <w:b/>
              </w:rPr>
            </w:pPr>
            <w:r w:rsidRPr="0046677E">
              <w:rPr>
                <w:b/>
              </w:rPr>
              <w:t>Suitable Test Method</w:t>
            </w:r>
          </w:p>
          <w:p w14:paraId="2F781DFF" w14:textId="77777777" w:rsidR="000B0E2B" w:rsidRPr="0046677E" w:rsidRDefault="00264ADC" w:rsidP="007707A1">
            <w:r w:rsidRPr="0046677E">
              <w:t>Sample Preparation and Measurement</w:t>
            </w:r>
          </w:p>
        </w:tc>
        <w:tc>
          <w:tcPr>
            <w:tcW w:w="1980" w:type="dxa"/>
          </w:tcPr>
          <w:p w14:paraId="2E238DA3" w14:textId="77777777" w:rsidR="000B0E2B" w:rsidRPr="0046677E" w:rsidRDefault="00264ADC" w:rsidP="007707A1">
            <w:pPr>
              <w:rPr>
                <w:b/>
              </w:rPr>
            </w:pPr>
            <w:r w:rsidRPr="0046677E">
              <w:rPr>
                <w:b/>
              </w:rPr>
              <w:t>Reporting Limit</w:t>
            </w:r>
          </w:p>
          <w:p w14:paraId="24FD836D" w14:textId="77777777" w:rsidR="000B0E2B" w:rsidRPr="0046677E" w:rsidRDefault="00264ADC" w:rsidP="007707A1">
            <w:r w:rsidRPr="0046677E">
              <w:t>Limits above which test results should be reported</w:t>
            </w:r>
          </w:p>
        </w:tc>
        <w:tc>
          <w:tcPr>
            <w:tcW w:w="1728" w:type="dxa"/>
          </w:tcPr>
          <w:p w14:paraId="2CA7C4F1" w14:textId="77777777" w:rsidR="000B0E2B" w:rsidRPr="0046677E" w:rsidRDefault="00264ADC" w:rsidP="007707A1">
            <w:pPr>
              <w:rPr>
                <w:b/>
              </w:rPr>
            </w:pPr>
            <w:r w:rsidRPr="0046677E">
              <w:rPr>
                <w:b/>
              </w:rPr>
              <w:t>Potential Uses</w:t>
            </w:r>
          </w:p>
        </w:tc>
      </w:tr>
      <w:tr w:rsidR="000B0E2B" w:rsidRPr="0046677E" w14:paraId="5CA40FB1" w14:textId="77777777">
        <w:tc>
          <w:tcPr>
            <w:tcW w:w="1278" w:type="dxa"/>
          </w:tcPr>
          <w:p w14:paraId="631FC4FF" w14:textId="77777777" w:rsidR="000B0E2B" w:rsidRPr="0046677E" w:rsidRDefault="00264ADC" w:rsidP="007707A1">
            <w:pPr>
              <w:pStyle w:val="Default"/>
              <w:rPr>
                <w:rFonts w:ascii="Times New Roman" w:hAnsi="Times New Roman" w:cs="Times New Roman"/>
                <w:b/>
              </w:rPr>
            </w:pPr>
            <w:r w:rsidRPr="0046677E">
              <w:rPr>
                <w:rFonts w:ascii="Times New Roman" w:hAnsi="Times New Roman" w:cs="Times New Roman"/>
                <w:b/>
              </w:rPr>
              <w:t>Cadmium (Cd)</w:t>
            </w:r>
          </w:p>
        </w:tc>
        <w:tc>
          <w:tcPr>
            <w:tcW w:w="1620" w:type="dxa"/>
          </w:tcPr>
          <w:p w14:paraId="54D557BB" w14:textId="77777777" w:rsidR="000B0E2B" w:rsidRPr="0046677E" w:rsidRDefault="00264ADC" w:rsidP="007707A1">
            <w:pPr>
              <w:pStyle w:val="Default"/>
              <w:rPr>
                <w:rFonts w:ascii="Times New Roman" w:hAnsi="Times New Roman" w:cs="Times New Roman"/>
              </w:rPr>
            </w:pPr>
            <w:r w:rsidRPr="0046677E">
              <w:rPr>
                <w:rFonts w:ascii="Times New Roman" w:hAnsi="Times New Roman" w:cs="Times New Roman"/>
              </w:rPr>
              <w:t>Extractable:</w:t>
            </w:r>
          </w:p>
          <w:p w14:paraId="17938CC2" w14:textId="77777777" w:rsidR="000B0E2B" w:rsidRPr="0046677E" w:rsidRDefault="00264ADC" w:rsidP="007707A1">
            <w:pPr>
              <w:pStyle w:val="Default"/>
              <w:rPr>
                <w:rFonts w:ascii="Times New Roman" w:hAnsi="Times New Roman" w:cs="Times New Roman"/>
              </w:rPr>
            </w:pPr>
            <w:r w:rsidRPr="0046677E">
              <w:rPr>
                <w:rFonts w:ascii="Times New Roman" w:hAnsi="Times New Roman" w:cs="Times New Roman"/>
              </w:rPr>
              <w:t>0.1 ppm Total: 40 ppm</w:t>
            </w:r>
          </w:p>
        </w:tc>
        <w:tc>
          <w:tcPr>
            <w:tcW w:w="2970" w:type="dxa"/>
          </w:tcPr>
          <w:p w14:paraId="128BB091" w14:textId="77777777" w:rsidR="000B0E2B" w:rsidRPr="004305F2" w:rsidRDefault="00264ADC" w:rsidP="007707A1">
            <w:pPr>
              <w:pStyle w:val="Default"/>
              <w:rPr>
                <w:rFonts w:ascii="Times New Roman" w:hAnsi="Times New Roman" w:cs="Times New Roman"/>
                <w:lang w:val="fr-BE"/>
              </w:rPr>
            </w:pPr>
            <w:proofErr w:type="spellStart"/>
            <w:proofErr w:type="gramStart"/>
            <w:r w:rsidRPr="004305F2">
              <w:rPr>
                <w:rFonts w:ascii="Times New Roman" w:hAnsi="Times New Roman" w:cs="Times New Roman"/>
                <w:lang w:val="fr-BE"/>
              </w:rPr>
              <w:t>Extractable</w:t>
            </w:r>
            <w:proofErr w:type="spellEnd"/>
            <w:r w:rsidRPr="004305F2">
              <w:rPr>
                <w:rFonts w:ascii="Times New Roman" w:hAnsi="Times New Roman" w:cs="Times New Roman"/>
                <w:lang w:val="fr-BE"/>
              </w:rPr>
              <w:t>:</w:t>
            </w:r>
            <w:proofErr w:type="gramEnd"/>
          </w:p>
          <w:p w14:paraId="14016619" w14:textId="77777777" w:rsidR="000B0E2B" w:rsidRPr="004305F2" w:rsidRDefault="00264ADC" w:rsidP="007707A1">
            <w:pPr>
              <w:pStyle w:val="Default"/>
              <w:rPr>
                <w:rFonts w:ascii="Times New Roman" w:hAnsi="Times New Roman" w:cs="Times New Roman"/>
                <w:lang w:val="fr-BE"/>
              </w:rPr>
            </w:pPr>
            <w:proofErr w:type="gramStart"/>
            <w:r w:rsidRPr="004305F2">
              <w:rPr>
                <w:rFonts w:ascii="Times New Roman" w:hAnsi="Times New Roman" w:cs="Times New Roman"/>
                <w:lang w:val="fr-BE"/>
              </w:rPr>
              <w:t>Textiles:</w:t>
            </w:r>
            <w:proofErr w:type="gramEnd"/>
            <w:r w:rsidRPr="004305F2">
              <w:rPr>
                <w:rFonts w:ascii="Times New Roman" w:hAnsi="Times New Roman" w:cs="Times New Roman"/>
                <w:lang w:val="fr-BE"/>
              </w:rPr>
              <w:t xml:space="preserve">  DIN EN 16711-2:2016</w:t>
            </w:r>
          </w:p>
          <w:p w14:paraId="14B68222" w14:textId="77777777" w:rsidR="000B0E2B" w:rsidRPr="004305F2" w:rsidRDefault="00264ADC" w:rsidP="007707A1">
            <w:pPr>
              <w:pStyle w:val="Default"/>
              <w:rPr>
                <w:rFonts w:ascii="Times New Roman" w:hAnsi="Times New Roman" w:cs="Times New Roman"/>
                <w:lang w:val="fr-BE"/>
              </w:rPr>
            </w:pPr>
            <w:proofErr w:type="spellStart"/>
            <w:proofErr w:type="gramStart"/>
            <w:r w:rsidRPr="004305F2">
              <w:rPr>
                <w:rFonts w:ascii="Times New Roman" w:hAnsi="Times New Roman" w:cs="Times New Roman"/>
                <w:lang w:val="fr-BE"/>
              </w:rPr>
              <w:t>Leather</w:t>
            </w:r>
            <w:proofErr w:type="spellEnd"/>
            <w:r w:rsidRPr="004305F2">
              <w:rPr>
                <w:rFonts w:ascii="Times New Roman" w:hAnsi="Times New Roman" w:cs="Times New Roman"/>
                <w:lang w:val="fr-BE"/>
              </w:rPr>
              <w:t>:</w:t>
            </w:r>
            <w:proofErr w:type="gramEnd"/>
            <w:r w:rsidRPr="004305F2">
              <w:rPr>
                <w:rFonts w:ascii="Times New Roman" w:hAnsi="Times New Roman" w:cs="Times New Roman"/>
                <w:lang w:val="fr-BE"/>
              </w:rPr>
              <w:t xml:space="preserve">  DIN EN ISO 17072-1:2017</w:t>
            </w:r>
          </w:p>
          <w:p w14:paraId="38AB1CE8" w14:textId="77777777" w:rsidR="000B0E2B" w:rsidRPr="004305F2" w:rsidRDefault="000B0E2B" w:rsidP="007707A1">
            <w:pPr>
              <w:pStyle w:val="Default"/>
              <w:rPr>
                <w:rFonts w:ascii="Times New Roman" w:hAnsi="Times New Roman" w:cs="Times New Roman"/>
                <w:lang w:val="fr-BE"/>
              </w:rPr>
            </w:pPr>
          </w:p>
          <w:p w14:paraId="1780BFDC" w14:textId="77777777" w:rsidR="000B0E2B" w:rsidRPr="0046677E" w:rsidRDefault="00264ADC" w:rsidP="007707A1">
            <w:pPr>
              <w:pStyle w:val="Default"/>
              <w:rPr>
                <w:rFonts w:ascii="Times New Roman" w:hAnsi="Times New Roman" w:cs="Times New Roman"/>
              </w:rPr>
            </w:pPr>
            <w:r w:rsidRPr="0046677E">
              <w:rPr>
                <w:rFonts w:ascii="Times New Roman" w:hAnsi="Times New Roman" w:cs="Times New Roman"/>
              </w:rPr>
              <w:t>Total:</w:t>
            </w:r>
          </w:p>
          <w:p w14:paraId="414D0AA7" w14:textId="77777777" w:rsidR="000B0E2B" w:rsidRPr="0046677E" w:rsidRDefault="00264ADC" w:rsidP="007707A1">
            <w:pPr>
              <w:pStyle w:val="Default"/>
              <w:rPr>
                <w:rFonts w:ascii="Times New Roman" w:hAnsi="Times New Roman" w:cs="Times New Roman"/>
              </w:rPr>
            </w:pPr>
            <w:r w:rsidRPr="0046677E">
              <w:rPr>
                <w:rFonts w:ascii="Times New Roman" w:hAnsi="Times New Roman" w:cs="Times New Roman"/>
              </w:rPr>
              <w:t>Textiles, plastics, and metal:  DIN EN</w:t>
            </w:r>
          </w:p>
          <w:p w14:paraId="439E7731" w14:textId="77777777" w:rsidR="000B0E2B" w:rsidRPr="0046677E" w:rsidRDefault="00264ADC" w:rsidP="007707A1">
            <w:pPr>
              <w:pStyle w:val="Default"/>
              <w:rPr>
                <w:rFonts w:ascii="Times New Roman" w:hAnsi="Times New Roman" w:cs="Times New Roman"/>
              </w:rPr>
            </w:pPr>
            <w:r w:rsidRPr="0046677E">
              <w:rPr>
                <w:rFonts w:ascii="Times New Roman" w:hAnsi="Times New Roman" w:cs="Times New Roman"/>
              </w:rPr>
              <w:t>16711-1:2016</w:t>
            </w:r>
          </w:p>
          <w:p w14:paraId="314F7A6E" w14:textId="77777777" w:rsidR="000B0E2B" w:rsidRPr="0046677E" w:rsidRDefault="00264ADC" w:rsidP="007707A1">
            <w:pPr>
              <w:pStyle w:val="Default"/>
              <w:rPr>
                <w:rFonts w:ascii="Times New Roman" w:hAnsi="Times New Roman" w:cs="Times New Roman"/>
              </w:rPr>
            </w:pPr>
            <w:r w:rsidRPr="0046677E">
              <w:rPr>
                <w:rFonts w:ascii="Times New Roman" w:hAnsi="Times New Roman" w:cs="Times New Roman"/>
              </w:rPr>
              <w:t>Leather:  DIN EN ISO 17072-2:2017</w:t>
            </w:r>
          </w:p>
        </w:tc>
        <w:tc>
          <w:tcPr>
            <w:tcW w:w="1980" w:type="dxa"/>
          </w:tcPr>
          <w:p w14:paraId="51188974" w14:textId="77777777" w:rsidR="000B0E2B" w:rsidRPr="0046677E" w:rsidRDefault="00264ADC" w:rsidP="007707A1">
            <w:pPr>
              <w:pStyle w:val="Default"/>
              <w:rPr>
                <w:rFonts w:ascii="Times New Roman" w:hAnsi="Times New Roman" w:cs="Times New Roman"/>
              </w:rPr>
            </w:pPr>
            <w:r w:rsidRPr="0046677E">
              <w:rPr>
                <w:rFonts w:ascii="Times New Roman" w:hAnsi="Times New Roman" w:cs="Times New Roman"/>
              </w:rPr>
              <w:t>Extractable:</w:t>
            </w:r>
          </w:p>
          <w:p w14:paraId="355E0986" w14:textId="77777777" w:rsidR="000B0E2B" w:rsidRPr="0046677E" w:rsidRDefault="00264ADC" w:rsidP="007707A1">
            <w:pPr>
              <w:pStyle w:val="Default"/>
              <w:rPr>
                <w:rFonts w:ascii="Times New Roman" w:hAnsi="Times New Roman" w:cs="Times New Roman"/>
              </w:rPr>
            </w:pPr>
            <w:r w:rsidRPr="0046677E">
              <w:rPr>
                <w:rFonts w:ascii="Times New Roman" w:hAnsi="Times New Roman" w:cs="Times New Roman"/>
              </w:rPr>
              <w:t>0.05 ppm</w:t>
            </w:r>
          </w:p>
          <w:p w14:paraId="73A0201C" w14:textId="77777777" w:rsidR="000B0E2B" w:rsidRPr="0046677E" w:rsidRDefault="00264ADC" w:rsidP="007707A1">
            <w:pPr>
              <w:pStyle w:val="Default"/>
              <w:rPr>
                <w:rFonts w:ascii="Times New Roman" w:hAnsi="Times New Roman" w:cs="Times New Roman"/>
              </w:rPr>
            </w:pPr>
            <w:r w:rsidRPr="0046677E">
              <w:rPr>
                <w:rFonts w:ascii="Times New Roman" w:hAnsi="Times New Roman" w:cs="Times New Roman"/>
              </w:rPr>
              <w:t>Total: 5 ppm</w:t>
            </w:r>
          </w:p>
        </w:tc>
        <w:tc>
          <w:tcPr>
            <w:tcW w:w="1728" w:type="dxa"/>
          </w:tcPr>
          <w:p w14:paraId="60FCC87B" w14:textId="77777777" w:rsidR="000B0E2B" w:rsidRPr="0046677E" w:rsidRDefault="00264ADC" w:rsidP="007707A1">
            <w:pPr>
              <w:pStyle w:val="Default"/>
              <w:rPr>
                <w:rFonts w:ascii="Times New Roman" w:hAnsi="Times New Roman" w:cs="Times New Roman"/>
              </w:rPr>
            </w:pPr>
            <w:r w:rsidRPr="0046677E">
              <w:rPr>
                <w:rFonts w:ascii="Times New Roman" w:hAnsi="Times New Roman" w:cs="Times New Roman"/>
              </w:rPr>
              <w:t>May be used as pigments (especially in red, orange, yellow, and green) and stabilizer of plastic</w:t>
            </w:r>
          </w:p>
        </w:tc>
      </w:tr>
    </w:tbl>
    <w:p w14:paraId="1CFAE08E" w14:textId="77777777" w:rsidR="000B0E2B" w:rsidRPr="0046677E" w:rsidRDefault="000B0E2B" w:rsidP="007707A1"/>
    <w:p w14:paraId="5F856699" w14:textId="77777777" w:rsidR="000B0E2B" w:rsidRPr="0046677E" w:rsidRDefault="00264ADC" w:rsidP="007707A1">
      <w:r w:rsidRPr="0046677E">
        <w:t xml:space="preserve">According to Carter’s </w:t>
      </w:r>
      <w:hyperlink r:id="rId19" w:history="1">
        <w:r w:rsidRPr="0046677E">
          <w:rPr>
            <w:rStyle w:val="Hyperlink"/>
          </w:rPr>
          <w:t>web page on product stewardship</w:t>
        </w:r>
      </w:hyperlink>
      <w:r w:rsidRPr="0046677E">
        <w:t xml:space="preserve">, there are several reasons it might restrict a substance, including government legislation or regulation, health and safety concerns for customers and workers, or potential environmental hazards.  Carter’s distributes the RSL to </w:t>
      </w:r>
      <w:r w:rsidRPr="0046677E">
        <w:lastRenderedPageBreak/>
        <w:t>suppliers, vendors, and employees so they can be aware of and follow its chemical policies.  Before shipping products, suppliers are required to test each product style for the presence of chemicals to ensure any concentration levels remain below the safe limits.</w:t>
      </w:r>
    </w:p>
    <w:p w14:paraId="1BBDF292" w14:textId="77777777" w:rsidR="000B0E2B" w:rsidRPr="0046677E" w:rsidRDefault="000B0E2B" w:rsidP="007707A1"/>
    <w:p w14:paraId="610F8F99" w14:textId="77777777" w:rsidR="000B0E2B" w:rsidRPr="0046677E" w:rsidRDefault="00264ADC" w:rsidP="007707A1">
      <w:pPr>
        <w:rPr>
          <w:b/>
        </w:rPr>
      </w:pPr>
      <w:r w:rsidRPr="0046677E">
        <w:rPr>
          <w:b/>
        </w:rPr>
        <w:t xml:space="preserve">EPA Proposes Rule </w:t>
      </w:r>
      <w:proofErr w:type="gramStart"/>
      <w:r w:rsidRPr="0046677E">
        <w:rPr>
          <w:b/>
        </w:rPr>
        <w:t>To</w:t>
      </w:r>
      <w:proofErr w:type="gramEnd"/>
      <w:r w:rsidRPr="0046677E">
        <w:rPr>
          <w:b/>
        </w:rPr>
        <w:t xml:space="preserve"> Improve Transparency Of Guidance</w:t>
      </w:r>
    </w:p>
    <w:p w14:paraId="2D04C224" w14:textId="77777777" w:rsidR="000B0E2B" w:rsidRPr="0046677E" w:rsidRDefault="000B0E2B" w:rsidP="007707A1"/>
    <w:p w14:paraId="2A98A596" w14:textId="77777777" w:rsidR="000B0E2B" w:rsidRPr="0046677E" w:rsidRDefault="00264ADC" w:rsidP="007707A1">
      <w:pPr>
        <w:pStyle w:val="NormalWeb"/>
        <w:spacing w:before="0" w:beforeAutospacing="0" w:after="0" w:afterAutospacing="0"/>
        <w:jc w:val="both"/>
        <w:rPr>
          <w:rFonts w:ascii="Times New Roman" w:hAnsi="Times New Roman" w:cs="Times New Roman"/>
        </w:rPr>
      </w:pPr>
      <w:r w:rsidRPr="0046677E">
        <w:rPr>
          <w:rFonts w:ascii="Times New Roman" w:hAnsi="Times New Roman" w:cs="Times New Roman"/>
        </w:rPr>
        <w:t xml:space="preserve">On May 22, 2020, EPA published in the </w:t>
      </w:r>
      <w:r w:rsidRPr="0046677E">
        <w:rPr>
          <w:rFonts w:ascii="Times New Roman" w:hAnsi="Times New Roman" w:cs="Times New Roman"/>
          <w:i/>
        </w:rPr>
        <w:t>Federal Register</w:t>
      </w:r>
      <w:r w:rsidRPr="0046677E">
        <w:rPr>
          <w:rFonts w:ascii="Times New Roman" w:hAnsi="Times New Roman" w:cs="Times New Roman"/>
        </w:rPr>
        <w:t xml:space="preserve"> its “first ever” </w:t>
      </w:r>
      <w:hyperlink r:id="rId20" w:history="1">
        <w:r w:rsidRPr="0046677E">
          <w:rPr>
            <w:rStyle w:val="Hyperlink"/>
            <w:rFonts w:cs="Times New Roman"/>
          </w:rPr>
          <w:t>proposed rule</w:t>
        </w:r>
      </w:hyperlink>
      <w:r w:rsidRPr="0046677E">
        <w:rPr>
          <w:rFonts w:ascii="Times New Roman" w:hAnsi="Times New Roman" w:cs="Times New Roman"/>
        </w:rPr>
        <w:t xml:space="preserve"> intended to improve the transparency of guidance.  According to EPA, the new rule will significantly increase the transparency of its practices around guidance and will improve its process for managing guidance documents.  When final, the rule will:</w:t>
      </w:r>
    </w:p>
    <w:p w14:paraId="3D154269" w14:textId="77777777" w:rsidR="000B0E2B" w:rsidRPr="0046677E" w:rsidRDefault="000B0E2B" w:rsidP="007707A1">
      <w:pPr>
        <w:widowControl/>
        <w:autoSpaceDE/>
        <w:autoSpaceDN/>
        <w:adjustRightInd/>
      </w:pPr>
    </w:p>
    <w:p w14:paraId="73A18497" w14:textId="77777777" w:rsidR="000B0E2B" w:rsidRPr="0046677E" w:rsidRDefault="00264ADC" w:rsidP="007707A1">
      <w:pPr>
        <w:pStyle w:val="ListParagraph"/>
        <w:numPr>
          <w:ilvl w:val="0"/>
          <w:numId w:val="27"/>
        </w:numPr>
        <w:spacing w:after="0" w:line="240" w:lineRule="auto"/>
        <w:ind w:left="1440" w:right="720" w:hanging="720"/>
      </w:pPr>
      <w:r w:rsidRPr="0046677E">
        <w:t xml:space="preserve">Establish the first formal petition process for the public to request that EPA modify or withdraw a guidance </w:t>
      </w:r>
      <w:proofErr w:type="gramStart"/>
      <w:r w:rsidRPr="0046677E">
        <w:t>document;</w:t>
      </w:r>
      <w:proofErr w:type="gramEnd"/>
    </w:p>
    <w:p w14:paraId="16689BE1" w14:textId="77777777" w:rsidR="000B0E2B" w:rsidRPr="0046677E" w:rsidRDefault="000B0E2B" w:rsidP="007707A1">
      <w:pPr>
        <w:widowControl/>
        <w:autoSpaceDE/>
        <w:autoSpaceDN/>
        <w:adjustRightInd/>
        <w:ind w:left="1440" w:right="720" w:hanging="720"/>
      </w:pPr>
    </w:p>
    <w:p w14:paraId="4630C681" w14:textId="77777777" w:rsidR="000B0E2B" w:rsidRPr="0046677E" w:rsidRDefault="00264ADC" w:rsidP="007707A1">
      <w:pPr>
        <w:pStyle w:val="ListParagraph"/>
        <w:numPr>
          <w:ilvl w:val="0"/>
          <w:numId w:val="27"/>
        </w:numPr>
        <w:spacing w:after="0" w:line="240" w:lineRule="auto"/>
        <w:ind w:left="1440" w:right="720" w:hanging="720"/>
      </w:pPr>
      <w:r w:rsidRPr="0046677E">
        <w:t>Ensure that EPA’s guidance documents are developed with appropriate review and are accessible and transparent to the public; and</w:t>
      </w:r>
    </w:p>
    <w:p w14:paraId="583C0C71" w14:textId="77777777" w:rsidR="000B0E2B" w:rsidRPr="0046677E" w:rsidRDefault="000B0E2B" w:rsidP="007707A1">
      <w:pPr>
        <w:widowControl/>
        <w:autoSpaceDE/>
        <w:autoSpaceDN/>
        <w:adjustRightInd/>
        <w:ind w:left="1440" w:right="720" w:hanging="720"/>
      </w:pPr>
    </w:p>
    <w:p w14:paraId="12B63321" w14:textId="77777777" w:rsidR="000B0E2B" w:rsidRPr="0046677E" w:rsidRDefault="00264ADC" w:rsidP="007707A1">
      <w:pPr>
        <w:pStyle w:val="ListParagraph"/>
        <w:numPr>
          <w:ilvl w:val="0"/>
          <w:numId w:val="27"/>
        </w:numPr>
        <w:spacing w:after="0" w:line="240" w:lineRule="auto"/>
        <w:ind w:left="1440" w:right="720" w:hanging="720"/>
      </w:pPr>
      <w:r w:rsidRPr="0046677E">
        <w:t>Provide for public participation in the development of significant guidance documents.</w:t>
      </w:r>
    </w:p>
    <w:p w14:paraId="72D437ED" w14:textId="77777777" w:rsidR="000B0E2B" w:rsidRPr="0046677E" w:rsidRDefault="000B0E2B" w:rsidP="007707A1">
      <w:pPr>
        <w:widowControl/>
        <w:autoSpaceDE/>
        <w:autoSpaceDN/>
        <w:adjustRightInd/>
      </w:pPr>
    </w:p>
    <w:p w14:paraId="52726F1D" w14:textId="77777777" w:rsidR="000B0E2B" w:rsidRPr="0046677E" w:rsidRDefault="00264ADC" w:rsidP="007707A1">
      <w:r w:rsidRPr="0046677E">
        <w:t xml:space="preserve">Comments are due </w:t>
      </w:r>
      <w:r w:rsidRPr="0046677E">
        <w:rPr>
          <w:b/>
        </w:rPr>
        <w:t>June 22, 2020</w:t>
      </w:r>
      <w:r w:rsidRPr="0046677E">
        <w:t>.  More information is available in B&amp;C’s May 21, 2020, memorandum, “</w:t>
      </w:r>
      <w:hyperlink r:id="rId21" w:history="1">
        <w:r w:rsidRPr="0046677E">
          <w:rPr>
            <w:rStyle w:val="Hyperlink"/>
          </w:rPr>
          <w:t>EPA Releases Proposed Rule Intended to Improve the Transparency of Guidance</w:t>
        </w:r>
      </w:hyperlink>
      <w:r w:rsidRPr="0046677E">
        <w:t>.”</w:t>
      </w:r>
    </w:p>
    <w:p w14:paraId="0B1D9AA8" w14:textId="77777777" w:rsidR="000B0E2B" w:rsidRPr="0046677E" w:rsidRDefault="000B0E2B" w:rsidP="007707A1"/>
    <w:p w14:paraId="09C2E0D2" w14:textId="77777777" w:rsidR="000B0E2B" w:rsidRPr="0046677E" w:rsidRDefault="00264ADC" w:rsidP="007707A1">
      <w:pPr>
        <w:rPr>
          <w:b/>
        </w:rPr>
      </w:pPr>
      <w:r w:rsidRPr="00BA68D8">
        <w:rPr>
          <w:b/>
          <w:highlight w:val="yellow"/>
        </w:rPr>
        <w:t xml:space="preserve">NGO Highlights FDA Review </w:t>
      </w:r>
      <w:proofErr w:type="gramStart"/>
      <w:r w:rsidRPr="00BA68D8">
        <w:rPr>
          <w:b/>
          <w:highlight w:val="yellow"/>
        </w:rPr>
        <w:t>Of</w:t>
      </w:r>
      <w:proofErr w:type="gramEnd"/>
      <w:r w:rsidRPr="00BA68D8">
        <w:rPr>
          <w:b/>
          <w:highlight w:val="yellow"/>
        </w:rPr>
        <w:t xml:space="preserve"> Mitigation Strategies To Reduce Dietary Exposure To Cadmium</w:t>
      </w:r>
    </w:p>
    <w:p w14:paraId="14379E33" w14:textId="77777777" w:rsidR="000B0E2B" w:rsidRPr="0046677E" w:rsidRDefault="000B0E2B" w:rsidP="007707A1"/>
    <w:p w14:paraId="34BCD010" w14:textId="77777777" w:rsidR="000B0E2B" w:rsidRPr="0046677E" w:rsidRDefault="00264ADC" w:rsidP="007707A1">
      <w:r w:rsidRPr="0046677E">
        <w:t>On April 7, 2020, EDF published a blog item entitled “</w:t>
      </w:r>
      <w:hyperlink r:id="rId22" w:history="1">
        <w:r w:rsidRPr="0046677E">
          <w:rPr>
            <w:rStyle w:val="Hyperlink"/>
          </w:rPr>
          <w:t xml:space="preserve">Best practices for reducing </w:t>
        </w:r>
        <w:r w:rsidRPr="0046677E">
          <w:rPr>
            <w:rStyle w:val="Hyperlink"/>
            <w:b/>
          </w:rPr>
          <w:t>cadmium</w:t>
        </w:r>
        <w:r w:rsidRPr="0046677E">
          <w:rPr>
            <w:rStyle w:val="Hyperlink"/>
          </w:rPr>
          <w:t xml:space="preserve"> in food:  New review from FDA scientists</w:t>
        </w:r>
      </w:hyperlink>
      <w:r w:rsidRPr="0046677E">
        <w:t xml:space="preserve">” that highlights recent publication in a peer-reviewed journal of a review of mitigation strategies to reduce dietary exposure to </w:t>
      </w:r>
      <w:r w:rsidRPr="0046677E">
        <w:rPr>
          <w:b/>
        </w:rPr>
        <w:t>cadmium</w:t>
      </w:r>
      <w:r w:rsidRPr="0046677E">
        <w:t xml:space="preserve">.  Because plants uptake </w:t>
      </w:r>
      <w:r w:rsidRPr="0046677E">
        <w:rPr>
          <w:b/>
        </w:rPr>
        <w:t>cadmium</w:t>
      </w:r>
      <w:r w:rsidRPr="0046677E">
        <w:t xml:space="preserve"> from the soil and “70 to 80% of dietary </w:t>
      </w:r>
      <w:r w:rsidRPr="0046677E">
        <w:rPr>
          <w:b/>
        </w:rPr>
        <w:t>cadmium</w:t>
      </w:r>
      <w:r w:rsidRPr="0046677E">
        <w:t xml:space="preserve"> intake in humans comes from plant-based food,” the article focuses on methods to “reduce or prevent initial uptake by plants.”  According to the authors, </w:t>
      </w:r>
      <w:r w:rsidRPr="0046677E">
        <w:rPr>
          <w:b/>
        </w:rPr>
        <w:t>cadmium</w:t>
      </w:r>
      <w:r w:rsidRPr="0046677E">
        <w:t xml:space="preserve"> enters the food supply through natural and manmade sources, highlighting that </w:t>
      </w:r>
      <w:r w:rsidRPr="0046677E">
        <w:rPr>
          <w:b/>
        </w:rPr>
        <w:t>cadmium</w:t>
      </w:r>
      <w:r w:rsidRPr="0046677E">
        <w:t xml:space="preserve"> often is a contaminant in phosphate fertilizers, </w:t>
      </w:r>
      <w:r w:rsidRPr="00BA68D8">
        <w:rPr>
          <w:highlight w:val="yellow"/>
        </w:rPr>
        <w:t>as well as a contaminant in zinc used to galvanize steel.</w:t>
      </w:r>
      <w:r w:rsidRPr="0046677E">
        <w:t xml:space="preserve">  The blog notes that the authors “provide useful actions that farmers, manufacturers, and consumers can take to reduce </w:t>
      </w:r>
      <w:r w:rsidRPr="0046677E">
        <w:rPr>
          <w:b/>
        </w:rPr>
        <w:t>cadmium</w:t>
      </w:r>
      <w:r w:rsidRPr="0046677E">
        <w:t xml:space="preserve"> in food.”  For manufacturers, they recommend:</w:t>
      </w:r>
    </w:p>
    <w:p w14:paraId="4A86BEDE" w14:textId="77777777" w:rsidR="000B0E2B" w:rsidRPr="0046677E" w:rsidRDefault="000B0E2B" w:rsidP="007707A1"/>
    <w:p w14:paraId="2E55284F" w14:textId="77777777" w:rsidR="000B0E2B" w:rsidRPr="00BA68D8" w:rsidRDefault="00264ADC" w:rsidP="007707A1">
      <w:pPr>
        <w:pStyle w:val="ListParagraph"/>
        <w:numPr>
          <w:ilvl w:val="0"/>
          <w:numId w:val="25"/>
        </w:numPr>
        <w:spacing w:after="0" w:line="240" w:lineRule="auto"/>
        <w:ind w:left="1440" w:right="720" w:hanging="720"/>
        <w:jc w:val="both"/>
        <w:rPr>
          <w:highlight w:val="yellow"/>
        </w:rPr>
      </w:pPr>
      <w:r w:rsidRPr="00BA68D8">
        <w:rPr>
          <w:highlight w:val="yellow"/>
        </w:rPr>
        <w:t xml:space="preserve">Stopping use of galvanized and </w:t>
      </w:r>
      <w:r w:rsidRPr="00BA68D8">
        <w:rPr>
          <w:b/>
          <w:highlight w:val="yellow"/>
        </w:rPr>
        <w:t>cadmium</w:t>
      </w:r>
      <w:r w:rsidRPr="00BA68D8">
        <w:rPr>
          <w:highlight w:val="yellow"/>
        </w:rPr>
        <w:t xml:space="preserve">-plated utensils and equipment for food </w:t>
      </w:r>
      <w:proofErr w:type="gramStart"/>
      <w:r w:rsidRPr="00BA68D8">
        <w:rPr>
          <w:highlight w:val="yellow"/>
        </w:rPr>
        <w:t>production;</w:t>
      </w:r>
      <w:proofErr w:type="gramEnd"/>
    </w:p>
    <w:p w14:paraId="13F83A7D" w14:textId="77777777" w:rsidR="000B0E2B" w:rsidRPr="00BA68D8" w:rsidRDefault="000B0E2B" w:rsidP="007707A1">
      <w:pPr>
        <w:ind w:left="1440" w:right="720" w:hanging="720"/>
        <w:rPr>
          <w:highlight w:val="yellow"/>
        </w:rPr>
      </w:pPr>
    </w:p>
    <w:p w14:paraId="34E89471" w14:textId="77777777" w:rsidR="000B0E2B" w:rsidRPr="00BA68D8" w:rsidRDefault="00264ADC" w:rsidP="007707A1">
      <w:pPr>
        <w:pStyle w:val="ListParagraph"/>
        <w:numPr>
          <w:ilvl w:val="0"/>
          <w:numId w:val="25"/>
        </w:numPr>
        <w:spacing w:after="0" w:line="240" w:lineRule="auto"/>
        <w:ind w:left="1440" w:right="720" w:hanging="720"/>
        <w:jc w:val="both"/>
        <w:rPr>
          <w:highlight w:val="yellow"/>
        </w:rPr>
      </w:pPr>
      <w:r w:rsidRPr="00BA68D8">
        <w:rPr>
          <w:highlight w:val="yellow"/>
        </w:rPr>
        <w:t xml:space="preserve">Reducing </w:t>
      </w:r>
      <w:r w:rsidRPr="00BA68D8">
        <w:rPr>
          <w:b/>
          <w:highlight w:val="yellow"/>
        </w:rPr>
        <w:t>cadmium</w:t>
      </w:r>
      <w:r w:rsidRPr="00BA68D8">
        <w:rPr>
          <w:highlight w:val="yellow"/>
        </w:rPr>
        <w:t>-bearing stabilizers in plastics; and</w:t>
      </w:r>
    </w:p>
    <w:p w14:paraId="59939462" w14:textId="77777777" w:rsidR="000B0E2B" w:rsidRPr="00BA68D8" w:rsidRDefault="000B0E2B" w:rsidP="007707A1">
      <w:pPr>
        <w:ind w:left="1440" w:right="720" w:hanging="720"/>
        <w:rPr>
          <w:highlight w:val="yellow"/>
        </w:rPr>
      </w:pPr>
    </w:p>
    <w:p w14:paraId="0DB04B92" w14:textId="77777777" w:rsidR="000B0E2B" w:rsidRPr="00BA68D8" w:rsidRDefault="00264ADC" w:rsidP="00740886">
      <w:pPr>
        <w:pStyle w:val="ListParagraph"/>
        <w:keepNext/>
        <w:keepLines/>
        <w:numPr>
          <w:ilvl w:val="0"/>
          <w:numId w:val="25"/>
        </w:numPr>
        <w:spacing w:after="0" w:line="240" w:lineRule="auto"/>
        <w:ind w:left="1440" w:right="720" w:hanging="720"/>
        <w:jc w:val="both"/>
        <w:rPr>
          <w:highlight w:val="yellow"/>
        </w:rPr>
      </w:pPr>
      <w:r w:rsidRPr="00BA68D8">
        <w:rPr>
          <w:highlight w:val="yellow"/>
        </w:rPr>
        <w:lastRenderedPageBreak/>
        <w:t xml:space="preserve">Removing </w:t>
      </w:r>
      <w:r w:rsidRPr="00BA68D8">
        <w:rPr>
          <w:b/>
          <w:highlight w:val="yellow"/>
        </w:rPr>
        <w:t>cadmium</w:t>
      </w:r>
      <w:r w:rsidRPr="00BA68D8">
        <w:rPr>
          <w:highlight w:val="yellow"/>
        </w:rPr>
        <w:t>-based pottery glazes.</w:t>
      </w:r>
    </w:p>
    <w:p w14:paraId="3F4FDCF5" w14:textId="77777777" w:rsidR="000B0E2B" w:rsidRPr="0046677E" w:rsidRDefault="000B0E2B" w:rsidP="007707A1"/>
    <w:p w14:paraId="75DC7054" w14:textId="77777777" w:rsidR="000B0E2B" w:rsidRPr="0046677E" w:rsidRDefault="00264ADC" w:rsidP="007707A1">
      <w:r w:rsidRPr="0046677E">
        <w:t xml:space="preserve">The recommendations for consumers are limited to eating a variety of foods and getting the proper amount of zinc, iron, and calcium to protect against </w:t>
      </w:r>
      <w:r w:rsidRPr="0046677E">
        <w:rPr>
          <w:b/>
        </w:rPr>
        <w:t>cadmium</w:t>
      </w:r>
      <w:r w:rsidRPr="0046677E">
        <w:t xml:space="preserve"> absorption and toxicity.  For next steps, the scientists identified the following:</w:t>
      </w:r>
    </w:p>
    <w:p w14:paraId="24CE31BD" w14:textId="77777777" w:rsidR="000B0E2B" w:rsidRPr="0046677E" w:rsidRDefault="000B0E2B" w:rsidP="007707A1"/>
    <w:p w14:paraId="1556F6CE" w14:textId="77777777" w:rsidR="000B0E2B" w:rsidRPr="0046677E" w:rsidRDefault="00264ADC" w:rsidP="007707A1">
      <w:pPr>
        <w:pStyle w:val="ListParagraph"/>
        <w:numPr>
          <w:ilvl w:val="0"/>
          <w:numId w:val="26"/>
        </w:numPr>
        <w:spacing w:after="0" w:line="240" w:lineRule="auto"/>
        <w:ind w:left="1440" w:right="720" w:hanging="720"/>
        <w:jc w:val="both"/>
      </w:pPr>
      <w:r w:rsidRPr="0046677E">
        <w:t xml:space="preserve">Conducting field-based experimentation and testing to inform risk modeling and to develop practical farm-specific mitigation </w:t>
      </w:r>
      <w:proofErr w:type="gramStart"/>
      <w:r w:rsidRPr="0046677E">
        <w:t>strategies;</w:t>
      </w:r>
      <w:proofErr w:type="gramEnd"/>
    </w:p>
    <w:p w14:paraId="4446F9D4" w14:textId="77777777" w:rsidR="000B0E2B" w:rsidRPr="0046677E" w:rsidRDefault="000B0E2B" w:rsidP="007707A1">
      <w:pPr>
        <w:ind w:left="1440" w:right="720" w:hanging="720"/>
      </w:pPr>
    </w:p>
    <w:p w14:paraId="71EB0E4F" w14:textId="77777777" w:rsidR="000B0E2B" w:rsidRPr="0046677E" w:rsidRDefault="00264ADC" w:rsidP="007707A1">
      <w:pPr>
        <w:pStyle w:val="ListParagraph"/>
        <w:numPr>
          <w:ilvl w:val="0"/>
          <w:numId w:val="26"/>
        </w:numPr>
        <w:spacing w:after="0" w:line="240" w:lineRule="auto"/>
        <w:ind w:left="1440" w:right="720" w:hanging="720"/>
        <w:jc w:val="both"/>
      </w:pPr>
      <w:r w:rsidRPr="0046677E">
        <w:t xml:space="preserve">Conducting a risk assessment that quantifies the potential effectiveness of mitigations throughout the food supply </w:t>
      </w:r>
      <w:proofErr w:type="gramStart"/>
      <w:r w:rsidRPr="0046677E">
        <w:t>chain;</w:t>
      </w:r>
      <w:proofErr w:type="gramEnd"/>
    </w:p>
    <w:p w14:paraId="6190D3CC" w14:textId="77777777" w:rsidR="000B0E2B" w:rsidRPr="0046677E" w:rsidRDefault="000B0E2B" w:rsidP="007707A1">
      <w:pPr>
        <w:ind w:left="1440" w:right="720" w:hanging="720"/>
      </w:pPr>
    </w:p>
    <w:p w14:paraId="0C1A36EB" w14:textId="77777777" w:rsidR="000B0E2B" w:rsidRPr="0046677E" w:rsidRDefault="00264ADC" w:rsidP="007707A1">
      <w:pPr>
        <w:pStyle w:val="ListParagraph"/>
        <w:numPr>
          <w:ilvl w:val="0"/>
          <w:numId w:val="26"/>
        </w:numPr>
        <w:spacing w:after="0" w:line="240" w:lineRule="auto"/>
        <w:ind w:left="1440" w:right="720" w:hanging="720"/>
        <w:jc w:val="both"/>
      </w:pPr>
      <w:r w:rsidRPr="0046677E">
        <w:t xml:space="preserve">Developing commodity-specific Codex Codes of Practices to provide technical guidance to reduce </w:t>
      </w:r>
      <w:r w:rsidRPr="0046677E">
        <w:rPr>
          <w:b/>
        </w:rPr>
        <w:t>cadmium</w:t>
      </w:r>
      <w:r w:rsidRPr="0046677E">
        <w:t xml:space="preserve"> levels in specific </w:t>
      </w:r>
      <w:proofErr w:type="gramStart"/>
      <w:r w:rsidRPr="0046677E">
        <w:t>crops;</w:t>
      </w:r>
      <w:proofErr w:type="gramEnd"/>
    </w:p>
    <w:p w14:paraId="64B987DF" w14:textId="77777777" w:rsidR="000B0E2B" w:rsidRPr="0046677E" w:rsidRDefault="000B0E2B" w:rsidP="007707A1">
      <w:pPr>
        <w:ind w:left="1440" w:right="720" w:hanging="720"/>
      </w:pPr>
    </w:p>
    <w:p w14:paraId="3C9E6030" w14:textId="77777777" w:rsidR="000B0E2B" w:rsidRPr="0046677E" w:rsidRDefault="00264ADC" w:rsidP="007707A1">
      <w:pPr>
        <w:pStyle w:val="ListParagraph"/>
        <w:numPr>
          <w:ilvl w:val="0"/>
          <w:numId w:val="26"/>
        </w:numPr>
        <w:spacing w:after="0" w:line="240" w:lineRule="auto"/>
        <w:ind w:left="1440" w:right="720" w:hanging="720"/>
        <w:jc w:val="both"/>
      </w:pPr>
      <w:r w:rsidRPr="0046677E">
        <w:t>Harmonizing the approach and understanding the limitations of using epidemiological data in dose–response assessment for the use in risk assessment; and</w:t>
      </w:r>
    </w:p>
    <w:p w14:paraId="22DCD3AD" w14:textId="77777777" w:rsidR="000B0E2B" w:rsidRPr="0046677E" w:rsidRDefault="000B0E2B" w:rsidP="007707A1">
      <w:pPr>
        <w:ind w:left="1440" w:right="720" w:hanging="720"/>
      </w:pPr>
    </w:p>
    <w:p w14:paraId="0CB15D35" w14:textId="77777777" w:rsidR="000B0E2B" w:rsidRPr="0046677E" w:rsidRDefault="00264ADC" w:rsidP="007707A1">
      <w:pPr>
        <w:pStyle w:val="ListParagraph"/>
        <w:numPr>
          <w:ilvl w:val="0"/>
          <w:numId w:val="26"/>
        </w:numPr>
        <w:spacing w:after="0" w:line="240" w:lineRule="auto"/>
        <w:ind w:left="1440" w:right="720" w:hanging="720"/>
        <w:jc w:val="both"/>
      </w:pPr>
      <w:r w:rsidRPr="0046677E">
        <w:t xml:space="preserve">Developing commodity-specific safe limits and a surveillance system for </w:t>
      </w:r>
      <w:r w:rsidRPr="0046677E">
        <w:rPr>
          <w:b/>
        </w:rPr>
        <w:t>cadmium</w:t>
      </w:r>
      <w:r w:rsidRPr="0046677E">
        <w:t xml:space="preserve"> in crops.</w:t>
      </w:r>
    </w:p>
    <w:p w14:paraId="0B516711" w14:textId="77777777" w:rsidR="000B0E2B" w:rsidRPr="0046677E" w:rsidRDefault="000B0E2B" w:rsidP="007707A1"/>
    <w:p w14:paraId="4CEB9C1D" w14:textId="77777777" w:rsidR="000B0E2B" w:rsidRPr="0046677E" w:rsidRDefault="00264ADC" w:rsidP="007707A1">
      <w:pPr>
        <w:widowControl/>
        <w:jc w:val="center"/>
        <w:rPr>
          <w:b/>
        </w:rPr>
      </w:pPr>
      <w:r w:rsidRPr="0046677E">
        <w:rPr>
          <w:b/>
        </w:rPr>
        <w:t>STATE ISSUES</w:t>
      </w:r>
    </w:p>
    <w:p w14:paraId="05D0F36F" w14:textId="77777777" w:rsidR="000B0E2B" w:rsidRPr="0046677E" w:rsidRDefault="000B0E2B" w:rsidP="007707A1"/>
    <w:p w14:paraId="3C179635" w14:textId="77777777" w:rsidR="000B0E2B" w:rsidRPr="0046677E" w:rsidRDefault="00264ADC" w:rsidP="007707A1">
      <w:pPr>
        <w:jc w:val="center"/>
        <w:rPr>
          <w:b/>
          <w:i/>
        </w:rPr>
      </w:pPr>
      <w:r w:rsidRPr="0046677E">
        <w:rPr>
          <w:b/>
          <w:i/>
        </w:rPr>
        <w:t>D.C.</w:t>
      </w:r>
    </w:p>
    <w:p w14:paraId="6FEA4186" w14:textId="77777777" w:rsidR="000B0E2B" w:rsidRPr="0046677E" w:rsidRDefault="000B0E2B" w:rsidP="007707A1"/>
    <w:p w14:paraId="08E09C75" w14:textId="77777777" w:rsidR="000B0E2B" w:rsidRPr="0046677E" w:rsidRDefault="00264ADC" w:rsidP="007707A1">
      <w:pPr>
        <w:rPr>
          <w:b/>
        </w:rPr>
      </w:pPr>
      <w:r w:rsidRPr="0046677E">
        <w:rPr>
          <w:b/>
        </w:rPr>
        <w:t xml:space="preserve">D.C. Updates Aquatic Life Criteria </w:t>
      </w:r>
      <w:proofErr w:type="gramStart"/>
      <w:r w:rsidRPr="0046677E">
        <w:rPr>
          <w:b/>
        </w:rPr>
        <w:t>For</w:t>
      </w:r>
      <w:proofErr w:type="gramEnd"/>
      <w:r w:rsidRPr="0046677E">
        <w:rPr>
          <w:b/>
        </w:rPr>
        <w:t xml:space="preserve"> Cadmium</w:t>
      </w:r>
    </w:p>
    <w:p w14:paraId="2BDEE1D6" w14:textId="77777777" w:rsidR="000B0E2B" w:rsidRPr="0046677E" w:rsidRDefault="000B0E2B" w:rsidP="007707A1"/>
    <w:p w14:paraId="208AA476" w14:textId="77777777" w:rsidR="000B0E2B" w:rsidRPr="0046677E" w:rsidRDefault="00264ADC" w:rsidP="007707A1">
      <w:r w:rsidRPr="0046677E">
        <w:t xml:space="preserve">DOEE published a notice of final rulemaking in the </w:t>
      </w:r>
      <w:r w:rsidRPr="0046677E">
        <w:rPr>
          <w:i/>
        </w:rPr>
        <w:t>District of Columbia Register</w:t>
      </w:r>
      <w:r w:rsidRPr="0046677E">
        <w:t xml:space="preserve"> on May 22, 2020, that updates the aquatic life criteria for </w:t>
      </w:r>
      <w:r w:rsidRPr="0046677E">
        <w:rPr>
          <w:b/>
        </w:rPr>
        <w:t>cadmium</w:t>
      </w:r>
      <w:r w:rsidRPr="0046677E">
        <w:t xml:space="preserve">.  According to the notice, the update is based on EPA recommendations, the 2016 </w:t>
      </w:r>
      <w:r w:rsidRPr="0046677E">
        <w:rPr>
          <w:i/>
        </w:rPr>
        <w:t>Aquatic Life Ambient Water Quality Criteria -- Cadmium</w:t>
      </w:r>
      <w:r w:rsidRPr="0046677E">
        <w:t xml:space="preserve"> (EPA 820-R-16-002).  The notice states that “[c]</w:t>
      </w:r>
      <w:proofErr w:type="spellStart"/>
      <w:r w:rsidRPr="0046677E">
        <w:t>hronic</w:t>
      </w:r>
      <w:proofErr w:type="spellEnd"/>
      <w:r w:rsidRPr="0046677E">
        <w:t xml:space="preserve"> </w:t>
      </w:r>
      <w:r w:rsidRPr="0046677E">
        <w:rPr>
          <w:b/>
        </w:rPr>
        <w:t>cadmium</w:t>
      </w:r>
      <w:r w:rsidRPr="0046677E">
        <w:t xml:space="preserve"> exposure can lead to adverse effects in the growth, reproductive, immune, and endocrine systems of aquatic life.  </w:t>
      </w:r>
      <w:r w:rsidRPr="0046677E">
        <w:rPr>
          <w:b/>
        </w:rPr>
        <w:t>Cadmium</w:t>
      </w:r>
      <w:r w:rsidRPr="0046677E">
        <w:t xml:space="preserve"> is, however, a naturally occurring metal found in mineral deposits and distributed ubiquitously at low concentrations in the environment.”  The notice notes that the updated chronic criterion is less stringent than the current chronic criterion, while the acute criterion is more stringent.</w:t>
      </w:r>
    </w:p>
    <w:p w14:paraId="01D414EB" w14:textId="77777777" w:rsidR="000B0E2B" w:rsidRPr="0046677E" w:rsidRDefault="000B0E2B" w:rsidP="007707A1"/>
    <w:p w14:paraId="40332AE0" w14:textId="77777777" w:rsidR="000B0E2B" w:rsidRPr="0046677E" w:rsidRDefault="00264ADC" w:rsidP="00740886">
      <w:pPr>
        <w:keepNext/>
        <w:keepLines/>
        <w:widowControl/>
        <w:jc w:val="center"/>
        <w:rPr>
          <w:b/>
          <w:i/>
        </w:rPr>
      </w:pPr>
      <w:r w:rsidRPr="0046677E">
        <w:rPr>
          <w:b/>
          <w:i/>
        </w:rPr>
        <w:lastRenderedPageBreak/>
        <w:t>Minnesota</w:t>
      </w:r>
    </w:p>
    <w:p w14:paraId="0600B35D" w14:textId="77777777" w:rsidR="000B0E2B" w:rsidRPr="0046677E" w:rsidRDefault="000B0E2B" w:rsidP="00740886">
      <w:pPr>
        <w:keepNext/>
        <w:keepLines/>
        <w:widowControl/>
      </w:pPr>
    </w:p>
    <w:p w14:paraId="63EDB50C" w14:textId="77777777" w:rsidR="000B0E2B" w:rsidRPr="0046677E" w:rsidRDefault="00264ADC" w:rsidP="00740886">
      <w:pPr>
        <w:keepNext/>
        <w:keepLines/>
        <w:widowControl/>
        <w:rPr>
          <w:b/>
        </w:rPr>
      </w:pPr>
      <w:r w:rsidRPr="0046677E">
        <w:rPr>
          <w:b/>
        </w:rPr>
        <w:t xml:space="preserve">CPIT Tests Spinning Battle Toys </w:t>
      </w:r>
      <w:proofErr w:type="gramStart"/>
      <w:r w:rsidRPr="0046677E">
        <w:rPr>
          <w:b/>
        </w:rPr>
        <w:t>For</w:t>
      </w:r>
      <w:proofErr w:type="gramEnd"/>
      <w:r w:rsidRPr="0046677E">
        <w:rPr>
          <w:b/>
        </w:rPr>
        <w:t xml:space="preserve"> Lead And Cadmium</w:t>
      </w:r>
    </w:p>
    <w:p w14:paraId="31478B64" w14:textId="77777777" w:rsidR="000B0E2B" w:rsidRPr="0046677E" w:rsidRDefault="000B0E2B" w:rsidP="00740886">
      <w:pPr>
        <w:keepNext/>
        <w:keepLines/>
        <w:widowControl/>
      </w:pPr>
    </w:p>
    <w:p w14:paraId="20BB42BD" w14:textId="77777777" w:rsidR="000B0E2B" w:rsidRPr="0046677E" w:rsidRDefault="00264ADC" w:rsidP="00740886">
      <w:pPr>
        <w:keepNext/>
        <w:keepLines/>
        <w:widowControl/>
      </w:pPr>
      <w:r w:rsidRPr="0046677E">
        <w:t xml:space="preserve">CPIT tested 50 spinning battle toys, including name-brand Beyblade toys and off-brand toys.  CPIT found the toys in stores and from online sellers.  According to the </w:t>
      </w:r>
      <w:hyperlink r:id="rId23" w:history="1">
        <w:r w:rsidRPr="0046677E">
          <w:rPr>
            <w:rStyle w:val="Hyperlink"/>
          </w:rPr>
          <w:t>Consumer Product Notice</w:t>
        </w:r>
      </w:hyperlink>
      <w:r w:rsidRPr="0046677E">
        <w:t xml:space="preserve">, spinning battle toys come in many pieces.  The paint or metal parts may flake dust, which could contain lead and </w:t>
      </w:r>
      <w:r w:rsidRPr="0046677E">
        <w:rPr>
          <w:b/>
        </w:rPr>
        <w:t>cadmium</w:t>
      </w:r>
      <w:r w:rsidRPr="0046677E">
        <w:t xml:space="preserve">.  The name-brand spinning battle toys that were tested did not show concerning levels of lead or </w:t>
      </w:r>
      <w:r w:rsidRPr="0046677E">
        <w:rPr>
          <w:b/>
        </w:rPr>
        <w:t>cadmium</w:t>
      </w:r>
      <w:r w:rsidRPr="0046677E">
        <w:t xml:space="preserve">.  The products that did contain concerning levels of lead, </w:t>
      </w:r>
      <w:r w:rsidRPr="0046677E">
        <w:rPr>
          <w:b/>
        </w:rPr>
        <w:t>cadmium</w:t>
      </w:r>
      <w:r w:rsidRPr="0046677E">
        <w:t>, or both, were all off-brand spinning battle toys.  CPIT is composed of representatives from MDH, MPCA, and MDC who work collaboratively to respond to referrals and concerns about products that are potentially toxic to children.</w:t>
      </w:r>
    </w:p>
    <w:p w14:paraId="4AFC041B" w14:textId="77777777" w:rsidR="000B0E2B" w:rsidRPr="0046677E" w:rsidRDefault="000B0E2B" w:rsidP="007707A1"/>
    <w:p w14:paraId="41366988" w14:textId="77777777" w:rsidR="000B0E2B" w:rsidRPr="0046677E" w:rsidRDefault="00264ADC" w:rsidP="007707A1">
      <w:pPr>
        <w:jc w:val="center"/>
        <w:rPr>
          <w:b/>
          <w:i/>
        </w:rPr>
      </w:pPr>
      <w:r w:rsidRPr="0046677E">
        <w:rPr>
          <w:b/>
          <w:i/>
        </w:rPr>
        <w:t>New York</w:t>
      </w:r>
    </w:p>
    <w:p w14:paraId="5F7B6B8F" w14:textId="77777777" w:rsidR="000B0E2B" w:rsidRPr="0046677E" w:rsidRDefault="000B0E2B" w:rsidP="007707A1"/>
    <w:p w14:paraId="1CDA2F08" w14:textId="77777777" w:rsidR="000B0E2B" w:rsidRPr="0046677E" w:rsidRDefault="00264ADC" w:rsidP="007707A1">
      <w:pPr>
        <w:rPr>
          <w:b/>
        </w:rPr>
      </w:pPr>
      <w:r w:rsidRPr="0046677E">
        <w:rPr>
          <w:b/>
        </w:rPr>
        <w:t>Governor Signs Bill Amending Child Safe Products Act</w:t>
      </w:r>
    </w:p>
    <w:p w14:paraId="794B16D3" w14:textId="77777777" w:rsidR="000B0E2B" w:rsidRPr="0046677E" w:rsidRDefault="000B0E2B" w:rsidP="007707A1"/>
    <w:p w14:paraId="50B7A373" w14:textId="77777777" w:rsidR="000B0E2B" w:rsidRPr="0046677E" w:rsidRDefault="00264ADC" w:rsidP="007707A1">
      <w:r w:rsidRPr="0046677E">
        <w:t xml:space="preserve">On April 3, 2020, Governor Andrew Cuomo (D) signed a budget bill (A. 9505B/S. 7505) that amends the Child Safe Products Act enacted on February 7, 2020.  As reported in our March 28, 2020, Update, Cuomo signed the Child Safe Products Act pursuant to a chapter agreement that reorganizes the regulatory framework for NYSDEC to designate chemicals of concern and high-priority chemicals, establish a children’s product safety council charged with providing NYSDEC with making recommendations on additional chemicals that should be considered for future prohibitions on use in children’s products, establish time lines for future regulatory actions, and incorporate a standard by which chemicals should be reviewed by NYSDEC for future prohibitions.  Products covered include baby products, toys, car seats, school supplies, and children’s furniture, bedding, jewelry, and apparel.  NYSDEC has two years to promulgate an initial list of chemicals of concern.  NYSDEC must consider certain chemicals for the list, including </w:t>
      </w:r>
      <w:r w:rsidRPr="0046677E">
        <w:rPr>
          <w:b/>
        </w:rPr>
        <w:t>cadmium</w:t>
      </w:r>
      <w:r w:rsidRPr="0046677E">
        <w:t xml:space="preserve"> and </w:t>
      </w:r>
      <w:r w:rsidRPr="0046677E">
        <w:rPr>
          <w:b/>
        </w:rPr>
        <w:t>cadmium compounds</w:t>
      </w:r>
      <w:r w:rsidRPr="0046677E">
        <w:t xml:space="preserve">.  Manufacturers will then be required to submit reports and pay a fee for products containing listed chemicals above practical quantification limits within 12 months.  </w:t>
      </w:r>
      <w:r w:rsidRPr="0046677E">
        <w:rPr>
          <w:b/>
        </w:rPr>
        <w:t>Cadmium (other than toy coatings)</w:t>
      </w:r>
      <w:r w:rsidRPr="0046677E">
        <w:t xml:space="preserve"> is designated as a high-priority chemical.</w:t>
      </w:r>
    </w:p>
    <w:p w14:paraId="300643ED" w14:textId="77777777" w:rsidR="000B0E2B" w:rsidRDefault="000B0E2B" w:rsidP="007707A1"/>
    <w:p w14:paraId="7B68AA12" w14:textId="77777777" w:rsidR="0046677E" w:rsidRPr="0046677E" w:rsidRDefault="0046677E" w:rsidP="007707A1">
      <w:pPr>
        <w:jc w:val="center"/>
        <w:rPr>
          <w:b/>
        </w:rPr>
      </w:pPr>
      <w:r w:rsidRPr="0046677E">
        <w:rPr>
          <w:b/>
        </w:rPr>
        <w:t>INTERNATIONAL ISSUES</w:t>
      </w:r>
    </w:p>
    <w:p w14:paraId="79515F9C" w14:textId="77777777" w:rsidR="0046677E" w:rsidRPr="0046677E" w:rsidRDefault="0046677E" w:rsidP="007707A1"/>
    <w:p w14:paraId="41CDD33E" w14:textId="77777777" w:rsidR="000B0E2B" w:rsidRPr="0046677E" w:rsidRDefault="00264ADC" w:rsidP="007707A1">
      <w:pPr>
        <w:jc w:val="center"/>
        <w:rPr>
          <w:b/>
        </w:rPr>
      </w:pPr>
      <w:r w:rsidRPr="0046677E">
        <w:rPr>
          <w:b/>
        </w:rPr>
        <w:t>AUSTRALIA</w:t>
      </w:r>
    </w:p>
    <w:p w14:paraId="102DB6D6" w14:textId="77777777" w:rsidR="000B0E2B" w:rsidRPr="0046677E" w:rsidRDefault="000B0E2B" w:rsidP="007707A1">
      <w:pPr>
        <w:pStyle w:val="NormalWeb"/>
        <w:spacing w:before="0" w:beforeAutospacing="0" w:after="0" w:afterAutospacing="0"/>
        <w:jc w:val="both"/>
        <w:rPr>
          <w:rFonts w:ascii="Times New Roman" w:hAnsi="Times New Roman" w:cs="Times New Roman"/>
        </w:rPr>
      </w:pPr>
    </w:p>
    <w:p w14:paraId="44CBE3E4" w14:textId="77777777" w:rsidR="000B0E2B" w:rsidRPr="0046677E" w:rsidRDefault="00264ADC" w:rsidP="007707A1">
      <w:pPr>
        <w:rPr>
          <w:b/>
        </w:rPr>
      </w:pPr>
      <w:r w:rsidRPr="0046677E">
        <w:rPr>
          <w:b/>
        </w:rPr>
        <w:t xml:space="preserve">Australia Pauses Review </w:t>
      </w:r>
      <w:proofErr w:type="gramStart"/>
      <w:r w:rsidRPr="0046677E">
        <w:rPr>
          <w:b/>
        </w:rPr>
        <w:t>Of</w:t>
      </w:r>
      <w:proofErr w:type="gramEnd"/>
      <w:r w:rsidRPr="0046677E">
        <w:rPr>
          <w:b/>
        </w:rPr>
        <w:t xml:space="preserve"> Workplace Exposure Standards</w:t>
      </w:r>
    </w:p>
    <w:p w14:paraId="5CF28BDA" w14:textId="77777777" w:rsidR="000B0E2B" w:rsidRPr="0046677E" w:rsidRDefault="000B0E2B" w:rsidP="007707A1"/>
    <w:p w14:paraId="5FEC04DB" w14:textId="77777777" w:rsidR="000B0E2B" w:rsidRPr="0046677E" w:rsidRDefault="00264ADC" w:rsidP="007707A1">
      <w:pPr>
        <w:pStyle w:val="NormalWeb"/>
        <w:spacing w:before="0" w:beforeAutospacing="0" w:after="0" w:afterAutospacing="0"/>
        <w:jc w:val="both"/>
        <w:rPr>
          <w:rFonts w:ascii="Times New Roman" w:hAnsi="Times New Roman" w:cs="Times New Roman"/>
        </w:rPr>
      </w:pPr>
      <w:r w:rsidRPr="0046677E">
        <w:rPr>
          <w:rFonts w:ascii="Times New Roman" w:hAnsi="Times New Roman"/>
        </w:rPr>
        <w:t xml:space="preserve">In March 2020, SWA paused the release and public consultation for </w:t>
      </w:r>
      <w:r w:rsidRPr="0046677E">
        <w:rPr>
          <w:rFonts w:ascii="Times New Roman" w:hAnsi="Times New Roman" w:cs="Times New Roman"/>
        </w:rPr>
        <w:t>the workplace exposure standards review until further notice.  During this period of pause, stak</w:t>
      </w:r>
      <w:r w:rsidRPr="0046677E">
        <w:rPr>
          <w:rFonts w:ascii="Times New Roman" w:hAnsi="Times New Roman"/>
        </w:rPr>
        <w:t xml:space="preserve">eholders can continue to submit comments for all current and previous releases via SWA’s dedicated inbox, </w:t>
      </w:r>
      <w:hyperlink r:id="rId24" w:history="1">
        <w:r w:rsidRPr="0046677E">
          <w:rPr>
            <w:rStyle w:val="Hyperlink"/>
          </w:rPr>
          <w:t>WESconsult@swa.gov.au</w:t>
        </w:r>
      </w:hyperlink>
      <w:r w:rsidRPr="0046677E">
        <w:rPr>
          <w:rFonts w:ascii="Times New Roman" w:hAnsi="Times New Roman"/>
        </w:rPr>
        <w:t xml:space="preserve">.  SWA asks that stakeholders indicate the chemical(s) for which they are providing feedback.  SWA states that it will communicate information about the revised time </w:t>
      </w:r>
      <w:r w:rsidRPr="0046677E">
        <w:rPr>
          <w:rFonts w:ascii="Times New Roman" w:hAnsi="Times New Roman"/>
        </w:rPr>
        <w:lastRenderedPageBreak/>
        <w:t xml:space="preserve">frames for completing the </w:t>
      </w:r>
      <w:r w:rsidRPr="0046677E">
        <w:rPr>
          <w:rFonts w:ascii="Times New Roman" w:hAnsi="Times New Roman" w:cs="Times New Roman"/>
        </w:rPr>
        <w:t>workplace exposure standards</w:t>
      </w:r>
      <w:r w:rsidRPr="0046677E">
        <w:rPr>
          <w:rFonts w:ascii="Times New Roman" w:hAnsi="Times New Roman"/>
        </w:rPr>
        <w:t xml:space="preserve"> review as soon as possible.</w:t>
      </w:r>
      <w:r w:rsidRPr="0046677E">
        <w:t xml:space="preserve">  </w:t>
      </w:r>
      <w:hyperlink r:id="rId25" w:history="1">
        <w:r w:rsidRPr="0046677E">
          <w:rPr>
            <w:rStyle w:val="Hyperlink"/>
            <w:rFonts w:cs="Times New Roman"/>
            <w:b/>
          </w:rPr>
          <w:t>Cadmium</w:t>
        </w:r>
        <w:r w:rsidRPr="0046677E">
          <w:rPr>
            <w:rStyle w:val="Hyperlink"/>
            <w:rFonts w:cs="Times New Roman"/>
          </w:rPr>
          <w:t xml:space="preserve"> and </w:t>
        </w:r>
        <w:r w:rsidRPr="0046677E">
          <w:rPr>
            <w:rStyle w:val="Hyperlink"/>
            <w:rFonts w:cs="Times New Roman"/>
            <w:b/>
          </w:rPr>
          <w:t>cadmium compounds</w:t>
        </w:r>
      </w:hyperlink>
      <w:r w:rsidRPr="0046677E">
        <w:rPr>
          <w:rFonts w:ascii="Times New Roman" w:hAnsi="Times New Roman" w:cs="Times New Roman"/>
        </w:rPr>
        <w:t xml:space="preserve"> were deferred to Release 4, released on September 27, 2019:</w:t>
      </w:r>
    </w:p>
    <w:p w14:paraId="7C833D84" w14:textId="77777777" w:rsidR="000B0E2B" w:rsidRPr="0046677E" w:rsidRDefault="000B0E2B" w:rsidP="007707A1">
      <w:pPr>
        <w:pStyle w:val="NormalWeb"/>
        <w:spacing w:before="0" w:beforeAutospacing="0" w:after="0" w:afterAutospacing="0"/>
        <w:jc w:val="both"/>
        <w:rPr>
          <w:rFonts w:ascii="Times New Roman" w:hAnsi="Times New Roman" w:cs="Times New Roman"/>
        </w:rPr>
      </w:pPr>
    </w:p>
    <w:tbl>
      <w:tblPr>
        <w:tblStyle w:val="TableGrid"/>
        <w:tblW w:w="0" w:type="auto"/>
        <w:tblLook w:val="04A0" w:firstRow="1" w:lastRow="0" w:firstColumn="1" w:lastColumn="0" w:noHBand="0" w:noVBand="1"/>
      </w:tblPr>
      <w:tblGrid>
        <w:gridCol w:w="2568"/>
        <w:gridCol w:w="1661"/>
        <w:gridCol w:w="1501"/>
        <w:gridCol w:w="1757"/>
        <w:gridCol w:w="1863"/>
      </w:tblGrid>
      <w:tr w:rsidR="000B0E2B" w:rsidRPr="0046677E" w14:paraId="21552D76" w14:textId="77777777">
        <w:tc>
          <w:tcPr>
            <w:tcW w:w="2628" w:type="dxa"/>
            <w:vMerge w:val="restart"/>
          </w:tcPr>
          <w:p w14:paraId="51DBE9BD" w14:textId="77777777" w:rsidR="000B0E2B" w:rsidRPr="0046677E" w:rsidRDefault="00264ADC" w:rsidP="007707A1">
            <w:pPr>
              <w:pStyle w:val="NormalWeb"/>
              <w:spacing w:before="0" w:beforeAutospacing="0" w:after="0" w:afterAutospacing="0"/>
              <w:jc w:val="both"/>
              <w:rPr>
                <w:rFonts w:ascii="Times New Roman" w:hAnsi="Times New Roman" w:cs="Times New Roman"/>
                <w:b/>
              </w:rPr>
            </w:pPr>
            <w:r w:rsidRPr="0046677E">
              <w:rPr>
                <w:rFonts w:ascii="Times New Roman" w:hAnsi="Times New Roman" w:cs="Times New Roman"/>
                <w:b/>
              </w:rPr>
              <w:t>Revision proposed?</w:t>
            </w:r>
          </w:p>
        </w:tc>
        <w:tc>
          <w:tcPr>
            <w:tcW w:w="3240" w:type="dxa"/>
            <w:gridSpan w:val="2"/>
          </w:tcPr>
          <w:p w14:paraId="7CA2CA01" w14:textId="77777777" w:rsidR="000B0E2B" w:rsidRPr="0046677E" w:rsidRDefault="00264ADC" w:rsidP="007707A1">
            <w:pPr>
              <w:pStyle w:val="NormalWeb"/>
              <w:spacing w:before="0" w:beforeAutospacing="0" w:after="0" w:afterAutospacing="0"/>
              <w:jc w:val="center"/>
              <w:rPr>
                <w:rFonts w:ascii="Times New Roman" w:hAnsi="Times New Roman" w:cs="Times New Roman"/>
                <w:b/>
              </w:rPr>
            </w:pPr>
            <w:r w:rsidRPr="0046677E">
              <w:rPr>
                <w:rFonts w:ascii="Times New Roman" w:hAnsi="Times New Roman" w:cs="Times New Roman"/>
                <w:b/>
              </w:rPr>
              <w:t>Current TWA</w:t>
            </w:r>
          </w:p>
        </w:tc>
        <w:tc>
          <w:tcPr>
            <w:tcW w:w="3708" w:type="dxa"/>
            <w:gridSpan w:val="2"/>
          </w:tcPr>
          <w:p w14:paraId="0C2C7A1C" w14:textId="77777777" w:rsidR="000B0E2B" w:rsidRPr="0046677E" w:rsidRDefault="00264ADC" w:rsidP="007707A1">
            <w:pPr>
              <w:pStyle w:val="NormalWeb"/>
              <w:spacing w:before="0" w:beforeAutospacing="0" w:after="0" w:afterAutospacing="0"/>
              <w:jc w:val="center"/>
              <w:rPr>
                <w:rFonts w:ascii="Times New Roman" w:hAnsi="Times New Roman" w:cs="Times New Roman"/>
                <w:b/>
              </w:rPr>
            </w:pPr>
            <w:r w:rsidRPr="0046677E">
              <w:rPr>
                <w:rFonts w:ascii="Times New Roman" w:hAnsi="Times New Roman" w:cs="Times New Roman"/>
                <w:b/>
              </w:rPr>
              <w:t>Recommended TWA</w:t>
            </w:r>
          </w:p>
        </w:tc>
      </w:tr>
      <w:tr w:rsidR="000B0E2B" w:rsidRPr="0046677E" w14:paraId="78972265" w14:textId="77777777">
        <w:tc>
          <w:tcPr>
            <w:tcW w:w="2628" w:type="dxa"/>
            <w:vMerge/>
          </w:tcPr>
          <w:p w14:paraId="5BBDBE90" w14:textId="77777777" w:rsidR="000B0E2B" w:rsidRPr="0046677E" w:rsidRDefault="000B0E2B" w:rsidP="007707A1">
            <w:pPr>
              <w:pStyle w:val="NormalWeb"/>
              <w:spacing w:before="0" w:beforeAutospacing="0" w:after="0" w:afterAutospacing="0"/>
              <w:jc w:val="both"/>
              <w:rPr>
                <w:rFonts w:ascii="Times New Roman" w:hAnsi="Times New Roman" w:cs="Times New Roman"/>
                <w:b/>
              </w:rPr>
            </w:pPr>
          </w:p>
        </w:tc>
        <w:tc>
          <w:tcPr>
            <w:tcW w:w="1710" w:type="dxa"/>
          </w:tcPr>
          <w:p w14:paraId="19448B15" w14:textId="77777777" w:rsidR="000B0E2B" w:rsidRPr="0046677E" w:rsidRDefault="00264ADC" w:rsidP="007707A1">
            <w:pPr>
              <w:pStyle w:val="NormalWeb"/>
              <w:spacing w:before="0" w:beforeAutospacing="0" w:after="0" w:afterAutospacing="0"/>
              <w:jc w:val="both"/>
              <w:rPr>
                <w:rFonts w:ascii="Times New Roman" w:hAnsi="Times New Roman" w:cs="Times New Roman"/>
                <w:b/>
              </w:rPr>
            </w:pPr>
            <w:r w:rsidRPr="0046677E">
              <w:rPr>
                <w:rFonts w:ascii="Times New Roman" w:hAnsi="Times New Roman" w:cs="Times New Roman"/>
                <w:b/>
              </w:rPr>
              <w:t>ppb</w:t>
            </w:r>
          </w:p>
        </w:tc>
        <w:tc>
          <w:tcPr>
            <w:tcW w:w="1530" w:type="dxa"/>
          </w:tcPr>
          <w:p w14:paraId="75986643" w14:textId="77777777" w:rsidR="000B0E2B" w:rsidRPr="0046677E" w:rsidRDefault="00264ADC" w:rsidP="007707A1">
            <w:pPr>
              <w:pStyle w:val="NormalWeb"/>
              <w:spacing w:before="0" w:beforeAutospacing="0" w:after="0" w:afterAutospacing="0"/>
              <w:jc w:val="both"/>
              <w:rPr>
                <w:rFonts w:ascii="Times New Roman" w:hAnsi="Times New Roman" w:cs="Times New Roman"/>
                <w:b/>
              </w:rPr>
            </w:pPr>
            <w:r w:rsidRPr="0046677E">
              <w:rPr>
                <w:rFonts w:ascii="Times New Roman" w:hAnsi="Times New Roman" w:cs="Times New Roman"/>
                <w:b/>
              </w:rPr>
              <w:t>mg/m</w:t>
            </w:r>
            <w:r w:rsidRPr="0046677E">
              <w:rPr>
                <w:rFonts w:ascii="Times New Roman" w:hAnsi="Times New Roman" w:cs="Times New Roman"/>
                <w:b/>
                <w:vertAlign w:val="superscript"/>
              </w:rPr>
              <w:t>3</w:t>
            </w:r>
          </w:p>
        </w:tc>
        <w:tc>
          <w:tcPr>
            <w:tcW w:w="1800" w:type="dxa"/>
          </w:tcPr>
          <w:p w14:paraId="72981D09" w14:textId="77777777" w:rsidR="000B0E2B" w:rsidRPr="0046677E" w:rsidRDefault="00264ADC" w:rsidP="007707A1">
            <w:pPr>
              <w:pStyle w:val="NormalWeb"/>
              <w:spacing w:before="0" w:beforeAutospacing="0" w:after="0" w:afterAutospacing="0"/>
              <w:jc w:val="both"/>
              <w:rPr>
                <w:rFonts w:ascii="Times New Roman" w:hAnsi="Times New Roman" w:cs="Times New Roman"/>
                <w:b/>
              </w:rPr>
            </w:pPr>
            <w:r w:rsidRPr="0046677E">
              <w:rPr>
                <w:rFonts w:ascii="Times New Roman" w:hAnsi="Times New Roman" w:cs="Times New Roman"/>
                <w:b/>
              </w:rPr>
              <w:t>ppm</w:t>
            </w:r>
          </w:p>
        </w:tc>
        <w:tc>
          <w:tcPr>
            <w:tcW w:w="1908" w:type="dxa"/>
          </w:tcPr>
          <w:p w14:paraId="509ED67C" w14:textId="77777777" w:rsidR="000B0E2B" w:rsidRPr="0046677E" w:rsidRDefault="00264ADC" w:rsidP="007707A1">
            <w:pPr>
              <w:pStyle w:val="NormalWeb"/>
              <w:spacing w:before="0" w:beforeAutospacing="0" w:after="0" w:afterAutospacing="0"/>
              <w:jc w:val="both"/>
              <w:rPr>
                <w:rFonts w:ascii="Times New Roman" w:hAnsi="Times New Roman" w:cs="Times New Roman"/>
                <w:b/>
              </w:rPr>
            </w:pPr>
            <w:r w:rsidRPr="0046677E">
              <w:rPr>
                <w:rFonts w:ascii="Times New Roman" w:hAnsi="Times New Roman" w:cs="Times New Roman"/>
                <w:b/>
              </w:rPr>
              <w:t>mg/m</w:t>
            </w:r>
            <w:r w:rsidRPr="0046677E">
              <w:rPr>
                <w:rFonts w:ascii="Times New Roman" w:hAnsi="Times New Roman" w:cs="Times New Roman"/>
                <w:b/>
                <w:vertAlign w:val="superscript"/>
              </w:rPr>
              <w:t>3</w:t>
            </w:r>
          </w:p>
        </w:tc>
      </w:tr>
      <w:tr w:rsidR="000B0E2B" w:rsidRPr="0046677E" w14:paraId="3AE67387" w14:textId="77777777">
        <w:tc>
          <w:tcPr>
            <w:tcW w:w="2628" w:type="dxa"/>
          </w:tcPr>
          <w:p w14:paraId="590F643E" w14:textId="77777777" w:rsidR="000B0E2B" w:rsidRPr="0046677E" w:rsidRDefault="00264ADC" w:rsidP="007707A1">
            <w:pPr>
              <w:pStyle w:val="NormalWeb"/>
              <w:spacing w:before="0" w:beforeAutospacing="0" w:after="0" w:afterAutospacing="0"/>
              <w:jc w:val="both"/>
              <w:rPr>
                <w:rFonts w:ascii="Times New Roman" w:hAnsi="Times New Roman" w:cs="Times New Roman"/>
              </w:rPr>
            </w:pPr>
            <w:r w:rsidRPr="0046677E">
              <w:rPr>
                <w:rFonts w:ascii="Times New Roman" w:hAnsi="Times New Roman" w:cs="Times New Roman"/>
              </w:rPr>
              <w:t>Yes</w:t>
            </w:r>
          </w:p>
        </w:tc>
        <w:tc>
          <w:tcPr>
            <w:tcW w:w="1710" w:type="dxa"/>
          </w:tcPr>
          <w:p w14:paraId="3E857990" w14:textId="77777777" w:rsidR="000B0E2B" w:rsidRPr="0046677E" w:rsidRDefault="00264ADC" w:rsidP="007707A1">
            <w:pPr>
              <w:widowControl/>
              <w:autoSpaceDE/>
              <w:autoSpaceDN/>
              <w:adjustRightInd/>
              <w:jc w:val="left"/>
            </w:pPr>
            <w:r w:rsidRPr="0046677E">
              <w:t>--</w:t>
            </w:r>
          </w:p>
        </w:tc>
        <w:tc>
          <w:tcPr>
            <w:tcW w:w="1530" w:type="dxa"/>
          </w:tcPr>
          <w:p w14:paraId="21955764" w14:textId="77777777" w:rsidR="000B0E2B" w:rsidRPr="0046677E" w:rsidRDefault="00264ADC" w:rsidP="007707A1">
            <w:r w:rsidRPr="0046677E">
              <w:t>0.01</w:t>
            </w:r>
          </w:p>
        </w:tc>
        <w:tc>
          <w:tcPr>
            <w:tcW w:w="1800" w:type="dxa"/>
          </w:tcPr>
          <w:p w14:paraId="79465524" w14:textId="77777777" w:rsidR="000B0E2B" w:rsidRPr="0046677E" w:rsidRDefault="00264ADC" w:rsidP="007707A1">
            <w:r w:rsidRPr="0046677E">
              <w:t>1 µg/m</w:t>
            </w:r>
            <w:r w:rsidRPr="0046677E">
              <w:rPr>
                <w:vertAlign w:val="superscript"/>
              </w:rPr>
              <w:t>3</w:t>
            </w:r>
          </w:p>
        </w:tc>
        <w:tc>
          <w:tcPr>
            <w:tcW w:w="1908" w:type="dxa"/>
          </w:tcPr>
          <w:p w14:paraId="1A3D40AA" w14:textId="77777777" w:rsidR="000B0E2B" w:rsidRPr="0046677E" w:rsidRDefault="00264ADC" w:rsidP="007707A1">
            <w:r w:rsidRPr="0046677E">
              <w:t>0.001</w:t>
            </w:r>
          </w:p>
        </w:tc>
      </w:tr>
    </w:tbl>
    <w:p w14:paraId="35EADD9B" w14:textId="77777777" w:rsidR="000B0E2B" w:rsidRPr="0046677E" w:rsidRDefault="000B0E2B" w:rsidP="007707A1">
      <w:pPr>
        <w:pStyle w:val="NormalWeb"/>
        <w:spacing w:before="0" w:beforeAutospacing="0" w:after="0" w:afterAutospacing="0"/>
        <w:jc w:val="both"/>
        <w:rPr>
          <w:rFonts w:ascii="Times New Roman" w:hAnsi="Times New Roman" w:cs="Times New Roman"/>
        </w:rPr>
      </w:pPr>
    </w:p>
    <w:p w14:paraId="0E445BCD" w14:textId="77777777" w:rsidR="000B0E2B" w:rsidRPr="0046677E" w:rsidRDefault="00264ADC" w:rsidP="007707A1">
      <w:r w:rsidRPr="0046677E">
        <w:t>Comments were due October 25, 2019.</w:t>
      </w:r>
    </w:p>
    <w:p w14:paraId="6F828ECD" w14:textId="77777777" w:rsidR="000B0E2B" w:rsidRPr="0046677E" w:rsidRDefault="000B0E2B" w:rsidP="007707A1">
      <w:pPr>
        <w:pStyle w:val="NormalWeb"/>
        <w:spacing w:before="0" w:beforeAutospacing="0" w:after="0" w:afterAutospacing="0"/>
        <w:jc w:val="both"/>
        <w:rPr>
          <w:rFonts w:ascii="Times New Roman" w:hAnsi="Times New Roman" w:cs="Times New Roman"/>
        </w:rPr>
      </w:pPr>
    </w:p>
    <w:p w14:paraId="7EAD4BAD" w14:textId="77777777" w:rsidR="000B0E2B" w:rsidRPr="0046677E" w:rsidRDefault="00264ADC" w:rsidP="007707A1">
      <w:r w:rsidRPr="0046677E">
        <w:rPr>
          <w:b/>
        </w:rPr>
        <w:t xml:space="preserve">NICNAS List </w:t>
      </w:r>
      <w:proofErr w:type="gramStart"/>
      <w:r w:rsidRPr="0046677E">
        <w:rPr>
          <w:b/>
        </w:rPr>
        <w:t>Of</w:t>
      </w:r>
      <w:proofErr w:type="gramEnd"/>
      <w:r w:rsidRPr="0046677E">
        <w:rPr>
          <w:b/>
        </w:rPr>
        <w:t xml:space="preserve"> Chemicals With High Hazards For Categorization Includes Cadmium And Cadmium Compounds</w:t>
      </w:r>
    </w:p>
    <w:p w14:paraId="593D19C4" w14:textId="77777777" w:rsidR="000B0E2B" w:rsidRPr="0046677E" w:rsidRDefault="000B0E2B" w:rsidP="007707A1"/>
    <w:p w14:paraId="18126007" w14:textId="77777777" w:rsidR="000B0E2B" w:rsidRPr="0046677E" w:rsidRDefault="00264ADC" w:rsidP="007707A1">
      <w:r w:rsidRPr="0046677E">
        <w:t xml:space="preserve">Under AICIS, part of the categorization process involves working out the hazards to human health and the environment associated with a chemical’s introduction.  To help companies with this process, NICNAS has compiled a </w:t>
      </w:r>
      <w:hyperlink r:id="rId26" w:history="1">
        <w:r w:rsidRPr="0046677E">
          <w:rPr>
            <w:rStyle w:val="Hyperlink"/>
          </w:rPr>
          <w:t>list of chemicals that are in the highest hazard bands</w:t>
        </w:r>
      </w:hyperlink>
      <w:r w:rsidRPr="0046677E">
        <w:t xml:space="preserve"> for human health and the environment.  If a chemical, its ester, or its salt is on the list, it is in the highest hazard band for the purposes of categorization (hazard band C for human health, hazard bands D or C for environment).  If a company thinks that its chemical should not be in the highest hazard band, it will need to submit data to dispute the hazard identified in the high hazards list when it submits its pre-introduction report or exempted declaration.  If a chemical, its ester, or its salt is not on the list, NICNAS notes that it could still be highly hazardous and that companies will need to determine its hazard in other ways.  This can include checking if there are hazard data already available for the chemical; whether the chemical has structural considerations that indicate its hazards; and if there is a similar chemical to use to fill gaps in hazard data.  The list includes </w:t>
      </w:r>
      <w:r w:rsidRPr="0046677E">
        <w:rPr>
          <w:b/>
        </w:rPr>
        <w:t>cadmium</w:t>
      </w:r>
      <w:r w:rsidRPr="0046677E">
        <w:t xml:space="preserve"> and </w:t>
      </w:r>
      <w:r w:rsidRPr="0046677E">
        <w:rPr>
          <w:b/>
        </w:rPr>
        <w:t>cadmium compounds</w:t>
      </w:r>
      <w:r w:rsidRPr="0046677E">
        <w:t xml:space="preserve">, as well as </w:t>
      </w:r>
      <w:proofErr w:type="gramStart"/>
      <w:r w:rsidRPr="0046677E">
        <w:t>a number of</w:t>
      </w:r>
      <w:proofErr w:type="gramEnd"/>
      <w:r w:rsidRPr="0046677E">
        <w:t xml:space="preserve"> specific </w:t>
      </w:r>
      <w:r w:rsidRPr="0046677E">
        <w:rPr>
          <w:b/>
        </w:rPr>
        <w:t>cadmium compounds</w:t>
      </w:r>
      <w:r w:rsidRPr="0046677E">
        <w:t>.</w:t>
      </w:r>
    </w:p>
    <w:p w14:paraId="13FAAEA2" w14:textId="77777777" w:rsidR="000B0E2B" w:rsidRPr="0046677E" w:rsidRDefault="000B0E2B" w:rsidP="007707A1"/>
    <w:p w14:paraId="130A3846" w14:textId="77777777" w:rsidR="000B0E2B" w:rsidRPr="0046677E" w:rsidRDefault="00264ADC" w:rsidP="007707A1">
      <w:pPr>
        <w:rPr>
          <w:b/>
        </w:rPr>
      </w:pPr>
      <w:r w:rsidRPr="0046677E">
        <w:rPr>
          <w:b/>
        </w:rPr>
        <w:t>Australia Posts AICIS Educational Videos</w:t>
      </w:r>
    </w:p>
    <w:p w14:paraId="0A1D8A7C" w14:textId="77777777" w:rsidR="000B0E2B" w:rsidRPr="0046677E" w:rsidRDefault="000B0E2B" w:rsidP="007707A1"/>
    <w:p w14:paraId="2A565B3D" w14:textId="77777777" w:rsidR="000B0E2B" w:rsidRPr="0046677E" w:rsidRDefault="00264ADC" w:rsidP="007707A1">
      <w:r w:rsidRPr="0046677E">
        <w:t xml:space="preserve">NICNAS announced on March 29, 2020, that it has canceled all AICIS information sessions due to COVID-19.  NICNAS has posted the first in a series of </w:t>
      </w:r>
      <w:hyperlink r:id="rId27" w:history="1">
        <w:r w:rsidRPr="0046677E">
          <w:rPr>
            <w:rStyle w:val="Hyperlink"/>
          </w:rPr>
          <w:t>educational videos</w:t>
        </w:r>
      </w:hyperlink>
      <w:r w:rsidRPr="0046677E">
        <w:t xml:space="preserve"> on key topics.  NICNAS has posted </w:t>
      </w:r>
      <w:hyperlink r:id="rId28" w:history="1">
        <w:r w:rsidRPr="0046677E">
          <w:rPr>
            <w:rStyle w:val="Hyperlink"/>
          </w:rPr>
          <w:t>FAQs</w:t>
        </w:r>
      </w:hyperlink>
      <w:r w:rsidRPr="0046677E">
        <w:t xml:space="preserve"> and </w:t>
      </w:r>
      <w:hyperlink r:id="rId29" w:history="1">
        <w:r w:rsidRPr="0046677E">
          <w:rPr>
            <w:rStyle w:val="Hyperlink"/>
          </w:rPr>
          <w:t>guidance on transitioning</w:t>
        </w:r>
      </w:hyperlink>
      <w:r w:rsidRPr="0046677E">
        <w:t xml:space="preserve"> from NICNAS to AICIS to help companies understand and comply with the new scheme.</w:t>
      </w:r>
    </w:p>
    <w:p w14:paraId="4DF702BC" w14:textId="77777777" w:rsidR="000B0E2B" w:rsidRPr="0046677E" w:rsidRDefault="000B0E2B" w:rsidP="007707A1"/>
    <w:p w14:paraId="1830BC64" w14:textId="77777777" w:rsidR="000B0E2B" w:rsidRPr="0046677E" w:rsidRDefault="00264ADC" w:rsidP="007707A1">
      <w:pPr>
        <w:widowControl/>
        <w:jc w:val="center"/>
        <w:rPr>
          <w:b/>
        </w:rPr>
      </w:pPr>
      <w:r w:rsidRPr="0046677E">
        <w:rPr>
          <w:b/>
        </w:rPr>
        <w:t>CANADA</w:t>
      </w:r>
    </w:p>
    <w:p w14:paraId="20B816DB" w14:textId="77777777" w:rsidR="000B0E2B" w:rsidRPr="0046677E" w:rsidRDefault="000B0E2B" w:rsidP="007707A1">
      <w:pPr>
        <w:widowControl/>
      </w:pPr>
    </w:p>
    <w:p w14:paraId="515190D2" w14:textId="77777777" w:rsidR="000B0E2B" w:rsidRPr="0046677E" w:rsidRDefault="00264ADC" w:rsidP="007707A1">
      <w:pPr>
        <w:rPr>
          <w:b/>
        </w:rPr>
      </w:pPr>
      <w:r w:rsidRPr="0046677E">
        <w:rPr>
          <w:b/>
        </w:rPr>
        <w:t xml:space="preserve">Natural Resources Canada Releases Preliminary Version </w:t>
      </w:r>
      <w:proofErr w:type="gramStart"/>
      <w:r w:rsidRPr="0046677E">
        <w:rPr>
          <w:b/>
        </w:rPr>
        <w:t>Of</w:t>
      </w:r>
      <w:proofErr w:type="gramEnd"/>
      <w:r w:rsidRPr="0046677E">
        <w:rPr>
          <w:b/>
        </w:rPr>
        <w:t xml:space="preserve"> Action Plan 2020 Under The Canadian Minerals And Metals Plan</w:t>
      </w:r>
    </w:p>
    <w:p w14:paraId="412DAA25" w14:textId="77777777" w:rsidR="000B0E2B" w:rsidRPr="0046677E" w:rsidRDefault="000B0E2B" w:rsidP="007707A1"/>
    <w:p w14:paraId="0FE52FD3" w14:textId="77777777" w:rsidR="000B0E2B" w:rsidRPr="0046677E" w:rsidRDefault="00264ADC" w:rsidP="007707A1">
      <w:r w:rsidRPr="0046677E">
        <w:t xml:space="preserve">As reported in our March 28, 2019, Update, in March 2019, Canada released the Canadian Minerals and Metals Plan.  The plan covers issues that are key to a successful and modern minerals and metals industry:  competitiveness; the participation of Indigenous Peoples; community benefits; respect for the environment; scientific and technological innovation; and, global </w:t>
      </w:r>
      <w:r w:rsidRPr="0046677E">
        <w:lastRenderedPageBreak/>
        <w:t xml:space="preserve">leadership.  On March 1, 2020, Canada </w:t>
      </w:r>
      <w:hyperlink r:id="rId30" w:history="1">
        <w:r w:rsidRPr="0046677E">
          <w:rPr>
            <w:rStyle w:val="Hyperlink"/>
          </w:rPr>
          <w:t>released</w:t>
        </w:r>
      </w:hyperlink>
      <w:r w:rsidRPr="0046677E">
        <w:t xml:space="preserve"> a preliminary version of </w:t>
      </w:r>
      <w:hyperlink r:id="rId31" w:history="1">
        <w:r w:rsidRPr="0046677E">
          <w:rPr>
            <w:rStyle w:val="Hyperlink"/>
          </w:rPr>
          <w:t>Action Plan 2020:  Introducing the Pan-Canadian Initiatives</w:t>
        </w:r>
      </w:hyperlink>
      <w:r w:rsidRPr="0046677E">
        <w:t>.  Action Plan 2020 launches a series of collaborative measures intended to ensure Canada’s minerals and metals sector is a key contributor to an evolving global economy for decades to come.  The Action Plan introduces pan-Canadian initiatives to achieve the targets indicated in the Canadian Minerals and Metals Plan’s six strategic directions, and highlights commitments and investments made by governments and industry.  Action Plan 2020 includes the following pan-Canadian initiatives:</w:t>
      </w:r>
    </w:p>
    <w:p w14:paraId="66687815" w14:textId="77777777" w:rsidR="000B0E2B" w:rsidRPr="0046677E" w:rsidRDefault="000B0E2B" w:rsidP="007707A1"/>
    <w:p w14:paraId="50D3B3F1" w14:textId="77777777" w:rsidR="000B0E2B" w:rsidRPr="0046677E" w:rsidRDefault="00264ADC" w:rsidP="007707A1">
      <w:pPr>
        <w:pStyle w:val="ListParagraph"/>
        <w:numPr>
          <w:ilvl w:val="0"/>
          <w:numId w:val="21"/>
        </w:numPr>
        <w:spacing w:after="0" w:line="240" w:lineRule="auto"/>
        <w:ind w:left="1440" w:hanging="720"/>
        <w:jc w:val="both"/>
      </w:pPr>
      <w:r w:rsidRPr="0046677E">
        <w:t>A Pan-Canadian Geoscience Strategy:</w:t>
      </w:r>
    </w:p>
    <w:p w14:paraId="64AAF71F" w14:textId="77777777" w:rsidR="000B0E2B" w:rsidRPr="0046677E" w:rsidRDefault="000B0E2B" w:rsidP="007707A1">
      <w:pPr>
        <w:ind w:right="1440"/>
      </w:pPr>
    </w:p>
    <w:p w14:paraId="0DD7408C" w14:textId="77777777" w:rsidR="000B0E2B" w:rsidRPr="0046677E" w:rsidRDefault="00264ADC" w:rsidP="007707A1">
      <w:pPr>
        <w:pStyle w:val="ListParagraph"/>
        <w:numPr>
          <w:ilvl w:val="0"/>
          <w:numId w:val="22"/>
        </w:numPr>
        <w:spacing w:after="0" w:line="240" w:lineRule="auto"/>
        <w:ind w:left="2160" w:right="1440" w:hanging="720"/>
        <w:jc w:val="both"/>
      </w:pPr>
      <w:r w:rsidRPr="0046677E">
        <w:t xml:space="preserve">Associated Target (by </w:t>
      </w:r>
      <w:r w:rsidRPr="0046677E">
        <w:rPr>
          <w:b/>
        </w:rPr>
        <w:t>2022</w:t>
      </w:r>
      <w:r w:rsidRPr="0046677E">
        <w:t xml:space="preserve">): A new, pan-Canadian collaborative public geoscience strategy for mineral </w:t>
      </w:r>
      <w:proofErr w:type="gramStart"/>
      <w:r w:rsidRPr="0046677E">
        <w:t>exploration;</w:t>
      </w:r>
      <w:proofErr w:type="gramEnd"/>
    </w:p>
    <w:p w14:paraId="15D3FDFF" w14:textId="77777777" w:rsidR="000B0E2B" w:rsidRPr="0046677E" w:rsidRDefault="000B0E2B" w:rsidP="007707A1"/>
    <w:p w14:paraId="00C3EFE4" w14:textId="77777777" w:rsidR="000B0E2B" w:rsidRPr="0046677E" w:rsidRDefault="00264ADC" w:rsidP="007707A1">
      <w:pPr>
        <w:pStyle w:val="ListParagraph"/>
        <w:numPr>
          <w:ilvl w:val="0"/>
          <w:numId w:val="21"/>
        </w:numPr>
        <w:spacing w:after="0" w:line="240" w:lineRule="auto"/>
        <w:ind w:left="1440" w:hanging="720"/>
        <w:jc w:val="both"/>
      </w:pPr>
      <w:r w:rsidRPr="0046677E">
        <w:t>Indigenous Procurement Conferences:</w:t>
      </w:r>
    </w:p>
    <w:p w14:paraId="77D69F8B" w14:textId="77777777" w:rsidR="000B0E2B" w:rsidRPr="0046677E" w:rsidRDefault="000B0E2B" w:rsidP="007707A1"/>
    <w:p w14:paraId="7FB38DA8" w14:textId="77777777" w:rsidR="000B0E2B" w:rsidRPr="0046677E" w:rsidRDefault="00264ADC" w:rsidP="007707A1">
      <w:pPr>
        <w:pStyle w:val="ListParagraph"/>
        <w:numPr>
          <w:ilvl w:val="0"/>
          <w:numId w:val="22"/>
        </w:numPr>
        <w:spacing w:after="0" w:line="240" w:lineRule="auto"/>
        <w:ind w:left="2160" w:hanging="720"/>
        <w:jc w:val="both"/>
      </w:pPr>
      <w:r w:rsidRPr="0046677E">
        <w:t>Associated Targets:</w:t>
      </w:r>
    </w:p>
    <w:p w14:paraId="264E5CA5" w14:textId="77777777" w:rsidR="000B0E2B" w:rsidRPr="0046677E" w:rsidRDefault="000B0E2B" w:rsidP="007707A1"/>
    <w:p w14:paraId="2744EE19" w14:textId="77777777" w:rsidR="000B0E2B" w:rsidRPr="0046677E" w:rsidRDefault="00264ADC" w:rsidP="007707A1">
      <w:pPr>
        <w:ind w:left="2160" w:right="1440"/>
      </w:pPr>
      <w:r w:rsidRPr="0046677E">
        <w:t xml:space="preserve">By </w:t>
      </w:r>
      <w:r w:rsidRPr="0046677E">
        <w:rPr>
          <w:b/>
        </w:rPr>
        <w:t>2020</w:t>
      </w:r>
      <w:r w:rsidRPr="0046677E">
        <w:t>:  A checklist to increase local procurement in the minerals and metals industry is available (under Communities in the Canadian Minerals and Metals Plan); and</w:t>
      </w:r>
    </w:p>
    <w:p w14:paraId="1A6F0BDA" w14:textId="77777777" w:rsidR="000B0E2B" w:rsidRPr="0046677E" w:rsidRDefault="000B0E2B" w:rsidP="007707A1">
      <w:pPr>
        <w:ind w:left="2160" w:right="1440"/>
      </w:pPr>
    </w:p>
    <w:p w14:paraId="31266AB6" w14:textId="77777777" w:rsidR="000B0E2B" w:rsidRPr="0046677E" w:rsidRDefault="00264ADC" w:rsidP="007707A1">
      <w:pPr>
        <w:ind w:left="2160" w:right="1440"/>
      </w:pPr>
      <w:r w:rsidRPr="0046677E">
        <w:t xml:space="preserve">By </w:t>
      </w:r>
      <w:r w:rsidRPr="0046677E">
        <w:rPr>
          <w:b/>
        </w:rPr>
        <w:t>2021</w:t>
      </w:r>
      <w:r w:rsidRPr="0046677E">
        <w:t xml:space="preserve">:  Increased Indigenous procurement and business </w:t>
      </w:r>
      <w:proofErr w:type="gramStart"/>
      <w:r w:rsidRPr="0046677E">
        <w:t>activity;</w:t>
      </w:r>
      <w:proofErr w:type="gramEnd"/>
    </w:p>
    <w:p w14:paraId="29D88AA8" w14:textId="77777777" w:rsidR="000B0E2B" w:rsidRPr="0046677E" w:rsidRDefault="000B0E2B" w:rsidP="007707A1"/>
    <w:p w14:paraId="734C0DE5" w14:textId="77777777" w:rsidR="000B0E2B" w:rsidRPr="0046677E" w:rsidRDefault="00264ADC" w:rsidP="007707A1">
      <w:pPr>
        <w:pStyle w:val="ListParagraph"/>
        <w:numPr>
          <w:ilvl w:val="0"/>
          <w:numId w:val="21"/>
        </w:numPr>
        <w:spacing w:after="0" w:line="240" w:lineRule="auto"/>
        <w:ind w:left="1440" w:right="720" w:hanging="720"/>
        <w:jc w:val="both"/>
      </w:pPr>
      <w:r w:rsidRPr="0046677E">
        <w:t>Re-imagined National Orphaned or Abandoned Mines Initiative:</w:t>
      </w:r>
    </w:p>
    <w:p w14:paraId="47BDF33E" w14:textId="77777777" w:rsidR="000B0E2B" w:rsidRPr="0046677E" w:rsidRDefault="000B0E2B" w:rsidP="007707A1">
      <w:pPr>
        <w:ind w:right="1440"/>
      </w:pPr>
    </w:p>
    <w:p w14:paraId="5D295E79" w14:textId="77777777" w:rsidR="000B0E2B" w:rsidRPr="0046677E" w:rsidRDefault="00264ADC" w:rsidP="007707A1">
      <w:pPr>
        <w:pStyle w:val="ListParagraph"/>
        <w:numPr>
          <w:ilvl w:val="0"/>
          <w:numId w:val="22"/>
        </w:numPr>
        <w:spacing w:after="0" w:line="240" w:lineRule="auto"/>
        <w:ind w:left="2160" w:right="1440" w:hanging="720"/>
        <w:jc w:val="both"/>
      </w:pPr>
      <w:r w:rsidRPr="0046677E">
        <w:t xml:space="preserve">Associated Target (by </w:t>
      </w:r>
      <w:r w:rsidRPr="0046677E">
        <w:rPr>
          <w:b/>
        </w:rPr>
        <w:t>2020</w:t>
      </w:r>
      <w:r w:rsidRPr="0046677E">
        <w:t xml:space="preserve">):  An expanded mandate for the Re-imagined National Orphaned or Abandoned Mines </w:t>
      </w:r>
      <w:proofErr w:type="gramStart"/>
      <w:r w:rsidRPr="0046677E">
        <w:t>Initiative;</w:t>
      </w:r>
      <w:proofErr w:type="gramEnd"/>
    </w:p>
    <w:p w14:paraId="171A36B4" w14:textId="77777777" w:rsidR="000B0E2B" w:rsidRPr="0046677E" w:rsidRDefault="000B0E2B" w:rsidP="007707A1"/>
    <w:p w14:paraId="63B15CB3" w14:textId="77777777" w:rsidR="000B0E2B" w:rsidRPr="0046677E" w:rsidRDefault="00264ADC" w:rsidP="007707A1">
      <w:pPr>
        <w:pStyle w:val="ListParagraph"/>
        <w:numPr>
          <w:ilvl w:val="0"/>
          <w:numId w:val="21"/>
        </w:numPr>
        <w:spacing w:after="0" w:line="240" w:lineRule="auto"/>
        <w:ind w:left="1440" w:hanging="720"/>
        <w:jc w:val="both"/>
      </w:pPr>
      <w:r w:rsidRPr="0046677E">
        <w:t>Innovation Challenges:</w:t>
      </w:r>
    </w:p>
    <w:p w14:paraId="263E198B" w14:textId="77777777" w:rsidR="000B0E2B" w:rsidRPr="0046677E" w:rsidRDefault="000B0E2B" w:rsidP="007707A1">
      <w:pPr>
        <w:ind w:right="1440"/>
      </w:pPr>
    </w:p>
    <w:p w14:paraId="3766AD28" w14:textId="77777777" w:rsidR="000B0E2B" w:rsidRPr="0046677E" w:rsidRDefault="00264ADC" w:rsidP="007707A1">
      <w:pPr>
        <w:pStyle w:val="ListParagraph"/>
        <w:numPr>
          <w:ilvl w:val="0"/>
          <w:numId w:val="22"/>
        </w:numPr>
        <w:spacing w:after="0" w:line="240" w:lineRule="auto"/>
        <w:ind w:left="2160" w:right="1440" w:hanging="720"/>
        <w:jc w:val="both"/>
      </w:pPr>
      <w:r w:rsidRPr="0046677E">
        <w:t>Associated Targets:</w:t>
      </w:r>
    </w:p>
    <w:p w14:paraId="790DB231" w14:textId="77777777" w:rsidR="000B0E2B" w:rsidRPr="0046677E" w:rsidRDefault="000B0E2B" w:rsidP="007707A1"/>
    <w:p w14:paraId="1D79F9C3" w14:textId="77777777" w:rsidR="000B0E2B" w:rsidRPr="0046677E" w:rsidRDefault="00264ADC" w:rsidP="007707A1">
      <w:pPr>
        <w:ind w:left="2160" w:right="1440"/>
      </w:pPr>
      <w:r w:rsidRPr="0046677E">
        <w:t xml:space="preserve">By </w:t>
      </w:r>
      <w:r w:rsidRPr="0046677E">
        <w:rPr>
          <w:b/>
        </w:rPr>
        <w:t>2022</w:t>
      </w:r>
      <w:r w:rsidRPr="0046677E">
        <w:t>:  Incentives to tackle large innovation challenges; and</w:t>
      </w:r>
    </w:p>
    <w:p w14:paraId="6B6F8055" w14:textId="77777777" w:rsidR="000B0E2B" w:rsidRPr="0046677E" w:rsidRDefault="000B0E2B" w:rsidP="007707A1">
      <w:pPr>
        <w:ind w:left="2160" w:right="1440"/>
      </w:pPr>
    </w:p>
    <w:p w14:paraId="2F9B3C8F" w14:textId="77777777" w:rsidR="000B0E2B" w:rsidRPr="0046677E" w:rsidRDefault="00264ADC" w:rsidP="007707A1">
      <w:pPr>
        <w:ind w:left="2160" w:right="1440"/>
      </w:pPr>
      <w:r w:rsidRPr="0046677E">
        <w:t xml:space="preserve">By </w:t>
      </w:r>
      <w:r w:rsidRPr="0046677E">
        <w:rPr>
          <w:b/>
        </w:rPr>
        <w:t>2025</w:t>
      </w:r>
      <w:r w:rsidRPr="0046677E">
        <w:t xml:space="preserve">:  Significant gains in the commercialization of mining-related technologies and </w:t>
      </w:r>
      <w:proofErr w:type="gramStart"/>
      <w:r w:rsidRPr="0046677E">
        <w:t>processes;</w:t>
      </w:r>
      <w:proofErr w:type="gramEnd"/>
    </w:p>
    <w:p w14:paraId="716F0134" w14:textId="77777777" w:rsidR="000B0E2B" w:rsidRPr="0046677E" w:rsidRDefault="00264ADC" w:rsidP="00740886">
      <w:pPr>
        <w:pStyle w:val="ListParagraph"/>
        <w:keepNext/>
        <w:keepLines/>
        <w:numPr>
          <w:ilvl w:val="0"/>
          <w:numId w:val="21"/>
        </w:numPr>
        <w:spacing w:after="0" w:line="240" w:lineRule="auto"/>
        <w:ind w:left="1440" w:right="720" w:hanging="720"/>
        <w:jc w:val="both"/>
      </w:pPr>
      <w:r w:rsidRPr="0046677E">
        <w:lastRenderedPageBreak/>
        <w:t>Improve Mineral Literacy</w:t>
      </w:r>
    </w:p>
    <w:p w14:paraId="4A8E1E21" w14:textId="77777777" w:rsidR="000B0E2B" w:rsidRPr="0046677E" w:rsidRDefault="000B0E2B" w:rsidP="00740886">
      <w:pPr>
        <w:keepNext/>
        <w:keepLines/>
      </w:pPr>
    </w:p>
    <w:p w14:paraId="4926A3BE" w14:textId="77777777" w:rsidR="000B0E2B" w:rsidRPr="0046677E" w:rsidRDefault="00264ADC" w:rsidP="007707A1">
      <w:pPr>
        <w:pStyle w:val="ListParagraph"/>
        <w:numPr>
          <w:ilvl w:val="0"/>
          <w:numId w:val="22"/>
        </w:numPr>
        <w:spacing w:after="0" w:line="240" w:lineRule="auto"/>
        <w:ind w:left="2160" w:hanging="720"/>
        <w:jc w:val="both"/>
      </w:pPr>
      <w:r w:rsidRPr="0046677E">
        <w:t>Associated Targets:</w:t>
      </w:r>
    </w:p>
    <w:p w14:paraId="6A647C00" w14:textId="77777777" w:rsidR="000B0E2B" w:rsidRPr="0046677E" w:rsidRDefault="000B0E2B" w:rsidP="007707A1"/>
    <w:p w14:paraId="2BF5ECE2" w14:textId="77777777" w:rsidR="000B0E2B" w:rsidRPr="0046677E" w:rsidRDefault="00264ADC" w:rsidP="007707A1">
      <w:pPr>
        <w:ind w:left="2160" w:right="1440"/>
      </w:pPr>
      <w:r w:rsidRPr="0046677E">
        <w:t xml:space="preserve">By </w:t>
      </w:r>
      <w:r w:rsidRPr="0046677E">
        <w:rPr>
          <w:b/>
        </w:rPr>
        <w:t>2025</w:t>
      </w:r>
      <w:r w:rsidRPr="0046677E">
        <w:t>:  Education-based initiatives to help attract and retain highly qualified personnel and develop a pipeline of future talent; and</w:t>
      </w:r>
    </w:p>
    <w:p w14:paraId="148D6EA0" w14:textId="77777777" w:rsidR="000B0E2B" w:rsidRPr="0046677E" w:rsidRDefault="000B0E2B" w:rsidP="007707A1">
      <w:pPr>
        <w:ind w:left="2160" w:right="1440"/>
      </w:pPr>
    </w:p>
    <w:p w14:paraId="10D99F68" w14:textId="77777777" w:rsidR="000B0E2B" w:rsidRPr="0046677E" w:rsidRDefault="00264ADC" w:rsidP="007707A1">
      <w:pPr>
        <w:ind w:left="2160" w:right="1440"/>
      </w:pPr>
      <w:r w:rsidRPr="0046677E">
        <w:t xml:space="preserve">By </w:t>
      </w:r>
      <w:r w:rsidRPr="0046677E">
        <w:rPr>
          <w:b/>
        </w:rPr>
        <w:t>2030</w:t>
      </w:r>
      <w:r w:rsidRPr="0046677E">
        <w:t xml:space="preserve">:  Canada’s mining workforce is more diverse and includes 30 percent </w:t>
      </w:r>
      <w:proofErr w:type="gramStart"/>
      <w:r w:rsidRPr="0046677E">
        <w:t>women;</w:t>
      </w:r>
      <w:proofErr w:type="gramEnd"/>
    </w:p>
    <w:p w14:paraId="07C523DD" w14:textId="77777777" w:rsidR="000B0E2B" w:rsidRPr="0046677E" w:rsidRDefault="000B0E2B" w:rsidP="007707A1"/>
    <w:p w14:paraId="30FD88E9" w14:textId="77777777" w:rsidR="000B0E2B" w:rsidRPr="0046677E" w:rsidRDefault="00264ADC" w:rsidP="007707A1">
      <w:pPr>
        <w:pStyle w:val="ListParagraph"/>
        <w:numPr>
          <w:ilvl w:val="0"/>
          <w:numId w:val="21"/>
        </w:numPr>
        <w:spacing w:after="0" w:line="240" w:lineRule="auto"/>
        <w:ind w:left="1440" w:hanging="720"/>
        <w:jc w:val="both"/>
      </w:pPr>
      <w:r w:rsidRPr="0046677E">
        <w:t>Canada Brand for Mining:</w:t>
      </w:r>
    </w:p>
    <w:p w14:paraId="097A3242" w14:textId="77777777" w:rsidR="000B0E2B" w:rsidRPr="0046677E" w:rsidRDefault="000B0E2B" w:rsidP="007707A1"/>
    <w:p w14:paraId="2FE6B8C3" w14:textId="77777777" w:rsidR="000B0E2B" w:rsidRPr="0046677E" w:rsidRDefault="00264ADC" w:rsidP="007707A1">
      <w:pPr>
        <w:pStyle w:val="ListParagraph"/>
        <w:numPr>
          <w:ilvl w:val="0"/>
          <w:numId w:val="22"/>
        </w:numPr>
        <w:spacing w:after="0" w:line="240" w:lineRule="auto"/>
        <w:ind w:left="2160" w:right="1440" w:hanging="720"/>
        <w:jc w:val="both"/>
      </w:pPr>
      <w:r w:rsidRPr="0046677E">
        <w:t xml:space="preserve">Associated Target (by </w:t>
      </w:r>
      <w:r w:rsidRPr="0046677E">
        <w:rPr>
          <w:b/>
        </w:rPr>
        <w:t>2020</w:t>
      </w:r>
      <w:r w:rsidRPr="0046677E">
        <w:t>):  Canada’s minerals and metals brand is unveiled.</w:t>
      </w:r>
    </w:p>
    <w:p w14:paraId="414ADFD1" w14:textId="77777777" w:rsidR="000B0E2B" w:rsidRPr="0046677E" w:rsidRDefault="000B0E2B" w:rsidP="007707A1"/>
    <w:p w14:paraId="707919A2" w14:textId="77777777" w:rsidR="000B0E2B" w:rsidRPr="0046677E" w:rsidRDefault="00264ADC" w:rsidP="007707A1">
      <w:r w:rsidRPr="0046677E">
        <w:t xml:space="preserve">The next Action Plans will be released in </w:t>
      </w:r>
      <w:r w:rsidRPr="0046677E">
        <w:rPr>
          <w:b/>
        </w:rPr>
        <w:t>2021</w:t>
      </w:r>
      <w:r w:rsidRPr="0046677E">
        <w:t xml:space="preserve"> and </w:t>
      </w:r>
      <w:r w:rsidRPr="0046677E">
        <w:rPr>
          <w:b/>
        </w:rPr>
        <w:t>2022</w:t>
      </w:r>
      <w:r w:rsidRPr="0046677E">
        <w:t xml:space="preserve">, respectively, with subsequent ones following every three years thereafter.  The final edition of Action Plan 2020 will be released at the Energy and Mines Ministers’ Conference in </w:t>
      </w:r>
      <w:r w:rsidRPr="0046677E">
        <w:rPr>
          <w:b/>
        </w:rPr>
        <w:t>July 2020</w:t>
      </w:r>
      <w:r w:rsidRPr="0046677E">
        <w:t xml:space="preserve">.  </w:t>
      </w:r>
    </w:p>
    <w:p w14:paraId="70D94B58" w14:textId="77777777" w:rsidR="000B0E2B" w:rsidRPr="0046677E" w:rsidRDefault="000B0E2B" w:rsidP="007707A1"/>
    <w:p w14:paraId="5B2C5399" w14:textId="77777777" w:rsidR="000B0E2B" w:rsidRPr="0046677E" w:rsidRDefault="00264ADC" w:rsidP="007707A1">
      <w:pPr>
        <w:widowControl/>
        <w:rPr>
          <w:b/>
        </w:rPr>
      </w:pPr>
      <w:r w:rsidRPr="0046677E">
        <w:rPr>
          <w:b/>
        </w:rPr>
        <w:t>MAC Survey Finds Canadians Want To “Seize Opportunity” In Critical Minerals</w:t>
      </w:r>
    </w:p>
    <w:p w14:paraId="4E8FEC53" w14:textId="77777777" w:rsidR="000B0E2B" w:rsidRPr="0046677E" w:rsidRDefault="000B0E2B" w:rsidP="007707A1">
      <w:pPr>
        <w:widowControl/>
      </w:pPr>
    </w:p>
    <w:p w14:paraId="0269FA88" w14:textId="77777777" w:rsidR="000B0E2B" w:rsidRPr="0046677E" w:rsidRDefault="00264ADC" w:rsidP="007707A1">
      <w:pPr>
        <w:widowControl/>
      </w:pPr>
      <w:r w:rsidRPr="0046677E">
        <w:t xml:space="preserve">On May 13, 2020, MAC </w:t>
      </w:r>
      <w:hyperlink r:id="rId32" w:history="1">
        <w:r w:rsidRPr="0046677E">
          <w:rPr>
            <w:rStyle w:val="Hyperlink"/>
          </w:rPr>
          <w:t>released</w:t>
        </w:r>
      </w:hyperlink>
      <w:r w:rsidRPr="0046677E">
        <w:t xml:space="preserve"> the results of a national poll that “highlights public enthusiasm for Canada to grow market share as a preferred global supplier of critical minerals, based on abundance and leading environmental standards.”  According to MAC, almost 90 percent of those surveyed “like the idea of Canada being a preferred source for critical minerals and would like to see government take a number of steps to support this approach.”  MAC states that:</w:t>
      </w:r>
    </w:p>
    <w:p w14:paraId="36BCE6BC" w14:textId="77777777" w:rsidR="000B0E2B" w:rsidRPr="0046677E" w:rsidRDefault="000B0E2B" w:rsidP="007707A1"/>
    <w:p w14:paraId="07EC7E0A" w14:textId="77777777" w:rsidR="000B0E2B" w:rsidRPr="0046677E" w:rsidRDefault="00264ADC" w:rsidP="007707A1">
      <w:pPr>
        <w:pStyle w:val="ListParagraph"/>
        <w:numPr>
          <w:ilvl w:val="0"/>
          <w:numId w:val="20"/>
        </w:numPr>
        <w:spacing w:after="0" w:line="240" w:lineRule="auto"/>
        <w:ind w:left="1440" w:right="720" w:hanging="720"/>
        <w:jc w:val="both"/>
      </w:pPr>
      <w:r w:rsidRPr="0046677E">
        <w:t xml:space="preserve">88 percent want to see Canada increase its role in producing critical minerals for world </w:t>
      </w:r>
      <w:proofErr w:type="gramStart"/>
      <w:r w:rsidRPr="0046677E">
        <w:t>markets;</w:t>
      </w:r>
      <w:proofErr w:type="gramEnd"/>
    </w:p>
    <w:p w14:paraId="16ABF18B" w14:textId="77777777" w:rsidR="000B0E2B" w:rsidRPr="0046677E" w:rsidRDefault="000B0E2B" w:rsidP="007707A1">
      <w:pPr>
        <w:ind w:left="1440" w:right="720" w:hanging="720"/>
      </w:pPr>
    </w:p>
    <w:p w14:paraId="5D5E25E7" w14:textId="77777777" w:rsidR="000B0E2B" w:rsidRPr="0046677E" w:rsidRDefault="00264ADC" w:rsidP="007707A1">
      <w:pPr>
        <w:pStyle w:val="ListParagraph"/>
        <w:numPr>
          <w:ilvl w:val="0"/>
          <w:numId w:val="20"/>
        </w:numPr>
        <w:spacing w:after="0" w:line="240" w:lineRule="auto"/>
        <w:ind w:left="1440" w:right="720" w:hanging="720"/>
        <w:jc w:val="both"/>
      </w:pPr>
      <w:r w:rsidRPr="0046677E">
        <w:t xml:space="preserve">86 percent want to encourage international investment into Canadian critical minerals and metals companies that are sustainability </w:t>
      </w:r>
      <w:proofErr w:type="gramStart"/>
      <w:r w:rsidRPr="0046677E">
        <w:t>leaders;</w:t>
      </w:r>
      <w:proofErr w:type="gramEnd"/>
    </w:p>
    <w:p w14:paraId="7FE108E6" w14:textId="77777777" w:rsidR="000B0E2B" w:rsidRPr="0046677E" w:rsidRDefault="000B0E2B" w:rsidP="007707A1">
      <w:pPr>
        <w:ind w:left="1440" w:right="720" w:hanging="720"/>
      </w:pPr>
    </w:p>
    <w:p w14:paraId="771F54AA" w14:textId="77777777" w:rsidR="000B0E2B" w:rsidRPr="0046677E" w:rsidRDefault="00264ADC" w:rsidP="007707A1">
      <w:pPr>
        <w:pStyle w:val="ListParagraph"/>
        <w:numPr>
          <w:ilvl w:val="0"/>
          <w:numId w:val="20"/>
        </w:numPr>
        <w:spacing w:after="0" w:line="240" w:lineRule="auto"/>
        <w:ind w:left="1440" w:right="720" w:hanging="720"/>
        <w:jc w:val="both"/>
      </w:pPr>
      <w:r w:rsidRPr="0046677E">
        <w:t>83 percent want to encourage Canadian production of critical minerals so Canada can compete with China; and</w:t>
      </w:r>
    </w:p>
    <w:p w14:paraId="07FFFA5E" w14:textId="77777777" w:rsidR="000B0E2B" w:rsidRPr="0046677E" w:rsidRDefault="000B0E2B" w:rsidP="007707A1">
      <w:pPr>
        <w:ind w:left="1440" w:right="720" w:hanging="720"/>
      </w:pPr>
    </w:p>
    <w:p w14:paraId="02349E53" w14:textId="77777777" w:rsidR="000B0E2B" w:rsidRPr="0046677E" w:rsidRDefault="00264ADC" w:rsidP="007707A1">
      <w:pPr>
        <w:pStyle w:val="ListParagraph"/>
        <w:numPr>
          <w:ilvl w:val="0"/>
          <w:numId w:val="20"/>
        </w:numPr>
        <w:spacing w:after="0" w:line="240" w:lineRule="auto"/>
        <w:ind w:left="1440" w:right="720" w:hanging="720"/>
        <w:jc w:val="both"/>
      </w:pPr>
      <w:r w:rsidRPr="0046677E">
        <w:t>81 percent want to promote interest in Canadian critical minerals by drawing attention to Canada’s high standards of sustainability.</w:t>
      </w:r>
    </w:p>
    <w:p w14:paraId="37AA9624" w14:textId="77777777" w:rsidR="000B0E2B" w:rsidRPr="0046677E" w:rsidRDefault="000B0E2B" w:rsidP="007707A1"/>
    <w:p w14:paraId="264EC191" w14:textId="77777777" w:rsidR="000B0E2B" w:rsidRPr="0046677E" w:rsidRDefault="00264ADC" w:rsidP="00740886">
      <w:pPr>
        <w:keepNext/>
        <w:keepLines/>
        <w:widowControl/>
        <w:jc w:val="center"/>
        <w:rPr>
          <w:b/>
        </w:rPr>
      </w:pPr>
      <w:r w:rsidRPr="0046677E">
        <w:rPr>
          <w:b/>
        </w:rPr>
        <w:lastRenderedPageBreak/>
        <w:t>HONG KONG</w:t>
      </w:r>
    </w:p>
    <w:p w14:paraId="3664A407" w14:textId="77777777" w:rsidR="000B0E2B" w:rsidRPr="0046677E" w:rsidRDefault="000B0E2B" w:rsidP="00740886">
      <w:pPr>
        <w:keepNext/>
        <w:keepLines/>
        <w:widowControl/>
      </w:pPr>
    </w:p>
    <w:p w14:paraId="4DF57DE7" w14:textId="77777777" w:rsidR="000B0E2B" w:rsidRPr="0046677E" w:rsidRDefault="00264ADC" w:rsidP="00740886">
      <w:pPr>
        <w:keepNext/>
        <w:keepLines/>
        <w:widowControl/>
        <w:rPr>
          <w:b/>
        </w:rPr>
      </w:pPr>
      <w:r w:rsidRPr="0046677E">
        <w:rPr>
          <w:b/>
        </w:rPr>
        <w:t xml:space="preserve">Hong Kong Updates Safety Standard </w:t>
      </w:r>
      <w:proofErr w:type="gramStart"/>
      <w:r w:rsidRPr="0046677E">
        <w:rPr>
          <w:b/>
        </w:rPr>
        <w:t>For</w:t>
      </w:r>
      <w:proofErr w:type="gramEnd"/>
      <w:r w:rsidRPr="0046677E">
        <w:rPr>
          <w:b/>
        </w:rPr>
        <w:t xml:space="preserve"> Toys And Other Children’s Products</w:t>
      </w:r>
    </w:p>
    <w:p w14:paraId="5DEBED32" w14:textId="77777777" w:rsidR="000B0E2B" w:rsidRPr="0046677E" w:rsidRDefault="000B0E2B" w:rsidP="00740886">
      <w:pPr>
        <w:keepNext/>
        <w:keepLines/>
        <w:widowControl/>
      </w:pPr>
    </w:p>
    <w:p w14:paraId="3EF76EAE" w14:textId="77777777" w:rsidR="000B0E2B" w:rsidRPr="0046677E" w:rsidRDefault="00264ADC" w:rsidP="00740886">
      <w:pPr>
        <w:keepNext/>
        <w:keepLines/>
        <w:widowControl/>
      </w:pPr>
      <w:r w:rsidRPr="0046677E">
        <w:t xml:space="preserve">CEDB amended its safety standard for toys and other children’s products, replacing European Standard Safety of Toys -- Part 3:  Migration of certain elements -- EN 71-3:2013+A3:2018 with the updated EN 71-3:2019, which applies to toys and children’s paints.  The amendment covers the relevant standards for the following categories of children’s products: </w:t>
      </w:r>
    </w:p>
    <w:p w14:paraId="355DE90C" w14:textId="77777777" w:rsidR="000B0E2B" w:rsidRPr="0046677E" w:rsidRDefault="000B0E2B" w:rsidP="007707A1">
      <w:pPr>
        <w:widowControl/>
      </w:pPr>
    </w:p>
    <w:p w14:paraId="6EC2310C" w14:textId="77777777" w:rsidR="000B0E2B" w:rsidRPr="0046677E" w:rsidRDefault="00264ADC" w:rsidP="007707A1">
      <w:pPr>
        <w:pStyle w:val="ListParagraph"/>
        <w:numPr>
          <w:ilvl w:val="0"/>
          <w:numId w:val="28"/>
        </w:numPr>
        <w:spacing w:after="0" w:line="240" w:lineRule="auto"/>
        <w:ind w:left="1440" w:right="720" w:hanging="720"/>
      </w:pPr>
      <w:proofErr w:type="gramStart"/>
      <w:r w:rsidRPr="0046677E">
        <w:t>Toys;</w:t>
      </w:r>
      <w:proofErr w:type="gramEnd"/>
    </w:p>
    <w:p w14:paraId="2AE08256" w14:textId="77777777" w:rsidR="000B0E2B" w:rsidRPr="0046677E" w:rsidRDefault="000B0E2B" w:rsidP="007707A1">
      <w:pPr>
        <w:widowControl/>
        <w:ind w:left="1440" w:right="720" w:hanging="720"/>
      </w:pPr>
    </w:p>
    <w:p w14:paraId="01F4E328" w14:textId="77777777" w:rsidR="000B0E2B" w:rsidRPr="0046677E" w:rsidRDefault="00264ADC" w:rsidP="007707A1">
      <w:pPr>
        <w:pStyle w:val="ListParagraph"/>
        <w:numPr>
          <w:ilvl w:val="0"/>
          <w:numId w:val="28"/>
        </w:numPr>
        <w:spacing w:after="0" w:line="240" w:lineRule="auto"/>
        <w:ind w:left="1440" w:right="720" w:hanging="720"/>
      </w:pPr>
      <w:r w:rsidRPr="0046677E">
        <w:t xml:space="preserve">Babies’ </w:t>
      </w:r>
      <w:proofErr w:type="gramStart"/>
      <w:r w:rsidRPr="0046677E">
        <w:t>dummies;</w:t>
      </w:r>
      <w:proofErr w:type="gramEnd"/>
    </w:p>
    <w:p w14:paraId="2ABB14B4" w14:textId="77777777" w:rsidR="000B0E2B" w:rsidRPr="0046677E" w:rsidRDefault="000B0E2B" w:rsidP="007707A1">
      <w:pPr>
        <w:widowControl/>
        <w:ind w:left="1440" w:right="720" w:hanging="720"/>
      </w:pPr>
    </w:p>
    <w:p w14:paraId="66160672" w14:textId="77777777" w:rsidR="000B0E2B" w:rsidRPr="0046677E" w:rsidRDefault="00264ADC" w:rsidP="007707A1">
      <w:pPr>
        <w:pStyle w:val="ListParagraph"/>
        <w:numPr>
          <w:ilvl w:val="0"/>
          <w:numId w:val="28"/>
        </w:numPr>
        <w:spacing w:after="0" w:line="240" w:lineRule="auto"/>
        <w:ind w:left="1440" w:right="720" w:hanging="720"/>
      </w:pPr>
      <w:r w:rsidRPr="0046677E">
        <w:t xml:space="preserve">Baby walking </w:t>
      </w:r>
      <w:proofErr w:type="gramStart"/>
      <w:r w:rsidRPr="0046677E">
        <w:t>frames;</w:t>
      </w:r>
      <w:proofErr w:type="gramEnd"/>
    </w:p>
    <w:p w14:paraId="76023813" w14:textId="77777777" w:rsidR="000B0E2B" w:rsidRPr="0046677E" w:rsidRDefault="000B0E2B" w:rsidP="007707A1">
      <w:pPr>
        <w:widowControl/>
        <w:ind w:left="1440" w:right="720" w:hanging="720"/>
      </w:pPr>
    </w:p>
    <w:p w14:paraId="4E2E29FC" w14:textId="77777777" w:rsidR="000B0E2B" w:rsidRPr="0046677E" w:rsidRDefault="00264ADC" w:rsidP="007707A1">
      <w:pPr>
        <w:pStyle w:val="ListParagraph"/>
        <w:numPr>
          <w:ilvl w:val="0"/>
          <w:numId w:val="28"/>
        </w:numPr>
        <w:spacing w:after="0" w:line="240" w:lineRule="auto"/>
        <w:ind w:left="1440" w:right="720" w:hanging="720"/>
      </w:pPr>
      <w:r w:rsidRPr="0046677E">
        <w:t xml:space="preserve">Child safety barriers for domestic </w:t>
      </w:r>
      <w:proofErr w:type="gramStart"/>
      <w:r w:rsidRPr="0046677E">
        <w:t>use;</w:t>
      </w:r>
      <w:proofErr w:type="gramEnd"/>
    </w:p>
    <w:p w14:paraId="5C0D96C4" w14:textId="77777777" w:rsidR="000B0E2B" w:rsidRPr="0046677E" w:rsidRDefault="000B0E2B" w:rsidP="007707A1">
      <w:pPr>
        <w:widowControl/>
        <w:ind w:left="1440" w:right="720" w:hanging="720"/>
      </w:pPr>
    </w:p>
    <w:p w14:paraId="105DBE77" w14:textId="77777777" w:rsidR="000B0E2B" w:rsidRPr="0046677E" w:rsidRDefault="00264ADC" w:rsidP="007707A1">
      <w:pPr>
        <w:pStyle w:val="ListParagraph"/>
        <w:numPr>
          <w:ilvl w:val="0"/>
          <w:numId w:val="28"/>
        </w:numPr>
        <w:spacing w:after="0" w:line="240" w:lineRule="auto"/>
        <w:ind w:left="1440" w:right="720" w:hanging="720"/>
      </w:pPr>
      <w:r w:rsidRPr="0046677E">
        <w:t xml:space="preserve">Children’s cots for domestic </w:t>
      </w:r>
      <w:proofErr w:type="gramStart"/>
      <w:r w:rsidRPr="0046677E">
        <w:t>use;</w:t>
      </w:r>
      <w:proofErr w:type="gramEnd"/>
    </w:p>
    <w:p w14:paraId="776085DD" w14:textId="77777777" w:rsidR="000B0E2B" w:rsidRPr="0046677E" w:rsidRDefault="000B0E2B" w:rsidP="007707A1">
      <w:pPr>
        <w:widowControl/>
        <w:ind w:left="1440" w:right="720" w:hanging="720"/>
      </w:pPr>
    </w:p>
    <w:p w14:paraId="4CFC56B0" w14:textId="77777777" w:rsidR="000B0E2B" w:rsidRPr="0046677E" w:rsidRDefault="00264ADC" w:rsidP="007707A1">
      <w:pPr>
        <w:pStyle w:val="ListParagraph"/>
        <w:numPr>
          <w:ilvl w:val="0"/>
          <w:numId w:val="28"/>
        </w:numPr>
        <w:spacing w:after="0" w:line="240" w:lineRule="auto"/>
        <w:ind w:left="1440" w:right="720" w:hanging="720"/>
      </w:pPr>
      <w:r w:rsidRPr="0046677E">
        <w:t xml:space="preserve">Children’s highchairs for domestic </w:t>
      </w:r>
      <w:proofErr w:type="gramStart"/>
      <w:r w:rsidRPr="0046677E">
        <w:t>use;</w:t>
      </w:r>
      <w:proofErr w:type="gramEnd"/>
      <w:r w:rsidRPr="0046677E">
        <w:t xml:space="preserve"> </w:t>
      </w:r>
    </w:p>
    <w:p w14:paraId="07966AE5" w14:textId="77777777" w:rsidR="000B0E2B" w:rsidRPr="0046677E" w:rsidRDefault="000B0E2B" w:rsidP="007707A1">
      <w:pPr>
        <w:widowControl/>
        <w:ind w:left="1440" w:right="720" w:hanging="720"/>
      </w:pPr>
    </w:p>
    <w:p w14:paraId="308F7536" w14:textId="77777777" w:rsidR="000B0E2B" w:rsidRPr="0046677E" w:rsidRDefault="00264ADC" w:rsidP="007707A1">
      <w:pPr>
        <w:pStyle w:val="ListParagraph"/>
        <w:numPr>
          <w:ilvl w:val="0"/>
          <w:numId w:val="28"/>
        </w:numPr>
        <w:spacing w:after="0" w:line="240" w:lineRule="auto"/>
        <w:ind w:left="1440" w:right="720" w:hanging="720"/>
      </w:pPr>
      <w:r w:rsidRPr="0046677E">
        <w:t xml:space="preserve">Children’s </w:t>
      </w:r>
      <w:proofErr w:type="gramStart"/>
      <w:r w:rsidRPr="0046677E">
        <w:t>paints;</w:t>
      </w:r>
      <w:proofErr w:type="gramEnd"/>
    </w:p>
    <w:p w14:paraId="0A905DEE" w14:textId="77777777" w:rsidR="000B0E2B" w:rsidRPr="0046677E" w:rsidRDefault="000B0E2B" w:rsidP="007707A1">
      <w:pPr>
        <w:widowControl/>
        <w:ind w:left="1440" w:right="720" w:hanging="720"/>
      </w:pPr>
    </w:p>
    <w:p w14:paraId="5F70279C" w14:textId="77777777" w:rsidR="000B0E2B" w:rsidRPr="0046677E" w:rsidRDefault="00264ADC" w:rsidP="007707A1">
      <w:pPr>
        <w:pStyle w:val="ListParagraph"/>
        <w:numPr>
          <w:ilvl w:val="0"/>
          <w:numId w:val="28"/>
        </w:numPr>
        <w:spacing w:after="0" w:line="240" w:lineRule="auto"/>
        <w:ind w:left="1440" w:right="720" w:hanging="720"/>
      </w:pPr>
      <w:r w:rsidRPr="0046677E">
        <w:t xml:space="preserve">Playpens for domestic use; and </w:t>
      </w:r>
    </w:p>
    <w:p w14:paraId="6CAC75B1" w14:textId="77777777" w:rsidR="000B0E2B" w:rsidRPr="0046677E" w:rsidRDefault="000B0E2B" w:rsidP="007707A1">
      <w:pPr>
        <w:widowControl/>
        <w:ind w:left="1440" w:right="720" w:hanging="720"/>
      </w:pPr>
    </w:p>
    <w:p w14:paraId="2F2C0854" w14:textId="77777777" w:rsidR="000B0E2B" w:rsidRPr="0046677E" w:rsidRDefault="00264ADC" w:rsidP="007707A1">
      <w:pPr>
        <w:pStyle w:val="ListParagraph"/>
        <w:numPr>
          <w:ilvl w:val="0"/>
          <w:numId w:val="28"/>
        </w:numPr>
        <w:spacing w:after="0" w:line="240" w:lineRule="auto"/>
        <w:ind w:left="1440" w:right="720" w:hanging="720"/>
      </w:pPr>
      <w:r w:rsidRPr="0046677E">
        <w:t>Pushchairs.</w:t>
      </w:r>
    </w:p>
    <w:p w14:paraId="47485043" w14:textId="77777777" w:rsidR="000B0E2B" w:rsidRPr="0046677E" w:rsidRDefault="000B0E2B" w:rsidP="007707A1">
      <w:pPr>
        <w:widowControl/>
      </w:pPr>
    </w:p>
    <w:p w14:paraId="3C3BFAB3" w14:textId="77777777" w:rsidR="000B0E2B" w:rsidRPr="0046677E" w:rsidRDefault="00264ADC" w:rsidP="007707A1">
      <w:pPr>
        <w:widowControl/>
      </w:pPr>
      <w:r w:rsidRPr="0046677E">
        <w:t xml:space="preserve">These products are listed in schedule 1 and 2 of Hong Kong's Toys and Children's Products Safety Ordinance (Cap 424).  The amendment will take effect </w:t>
      </w:r>
      <w:r w:rsidRPr="0046677E">
        <w:rPr>
          <w:b/>
        </w:rPr>
        <w:t>October 1, 2020</w:t>
      </w:r>
      <w:r w:rsidRPr="0046677E">
        <w:t>.</w:t>
      </w:r>
    </w:p>
    <w:p w14:paraId="640D6F21" w14:textId="77777777" w:rsidR="000B0E2B" w:rsidRPr="0046677E" w:rsidRDefault="000B0E2B" w:rsidP="007707A1">
      <w:pPr>
        <w:widowControl/>
      </w:pPr>
    </w:p>
    <w:p w14:paraId="726D377A" w14:textId="77777777" w:rsidR="000B0E2B" w:rsidRPr="0046677E" w:rsidRDefault="00264ADC" w:rsidP="007707A1">
      <w:pPr>
        <w:jc w:val="center"/>
        <w:rPr>
          <w:b/>
        </w:rPr>
      </w:pPr>
      <w:r w:rsidRPr="0046677E">
        <w:rPr>
          <w:b/>
        </w:rPr>
        <w:t>ISO</w:t>
      </w:r>
    </w:p>
    <w:p w14:paraId="62F63223" w14:textId="77777777" w:rsidR="000B0E2B" w:rsidRPr="0046677E" w:rsidRDefault="000B0E2B" w:rsidP="007707A1"/>
    <w:p w14:paraId="19EE5B6F" w14:textId="77777777" w:rsidR="000B0E2B" w:rsidRPr="0046677E" w:rsidRDefault="00264ADC" w:rsidP="007707A1">
      <w:pPr>
        <w:rPr>
          <w:b/>
        </w:rPr>
      </w:pPr>
      <w:r w:rsidRPr="0046677E">
        <w:rPr>
          <w:b/>
        </w:rPr>
        <w:t xml:space="preserve">ISO Updates Toy Safety Standard </w:t>
      </w:r>
      <w:proofErr w:type="gramStart"/>
      <w:r w:rsidRPr="0046677E">
        <w:rPr>
          <w:b/>
        </w:rPr>
        <w:t>For</w:t>
      </w:r>
      <w:proofErr w:type="gramEnd"/>
      <w:r w:rsidRPr="0046677E">
        <w:rPr>
          <w:b/>
        </w:rPr>
        <w:t xml:space="preserve"> The Migration Of Certain Elements, Including Cadmium</w:t>
      </w:r>
    </w:p>
    <w:p w14:paraId="68366852" w14:textId="77777777" w:rsidR="000B0E2B" w:rsidRPr="0046677E" w:rsidRDefault="000B0E2B" w:rsidP="007707A1"/>
    <w:p w14:paraId="0A4CF812" w14:textId="77777777" w:rsidR="000B0E2B" w:rsidRPr="0046677E" w:rsidRDefault="00264ADC" w:rsidP="007707A1">
      <w:r w:rsidRPr="0046677E">
        <w:t>ISO published the third edition of standard ISO 8124-3:2020, “</w:t>
      </w:r>
      <w:hyperlink r:id="rId33" w:history="1">
        <w:r w:rsidRPr="0046677E">
          <w:rPr>
            <w:rStyle w:val="Hyperlink"/>
          </w:rPr>
          <w:t>Safety of toys -- Part 3:  Migration of certain elements</w:t>
        </w:r>
      </w:hyperlink>
      <w:r w:rsidRPr="0046677E">
        <w:t xml:space="preserve">.”  The updated standard specifies maximum acceptable levels and methods of sampling, extraction, and determination for the migration of the </w:t>
      </w:r>
      <w:proofErr w:type="gramStart"/>
      <w:r w:rsidRPr="0046677E">
        <w:t>elements</w:t>
      </w:r>
      <w:proofErr w:type="gramEnd"/>
      <w:r w:rsidRPr="0046677E">
        <w:t xml:space="preserve"> antimony, arsenic, barium, </w:t>
      </w:r>
      <w:r w:rsidRPr="0046677E">
        <w:rPr>
          <w:b/>
        </w:rPr>
        <w:t>cadmium</w:t>
      </w:r>
      <w:r w:rsidRPr="0046677E">
        <w:t>, chromium, lead, mercury, and selenium from toy materials and from parts of toys.  It specifies maximum acceptable levels for the migration of elements from the following toy materials:</w:t>
      </w:r>
    </w:p>
    <w:p w14:paraId="45D57BB1" w14:textId="77777777" w:rsidR="000B0E2B" w:rsidRPr="0046677E" w:rsidRDefault="000B0E2B" w:rsidP="007707A1"/>
    <w:p w14:paraId="29F71523" w14:textId="77777777" w:rsidR="000B0E2B" w:rsidRPr="0046677E" w:rsidRDefault="00264ADC" w:rsidP="00740886">
      <w:pPr>
        <w:pStyle w:val="ListParagraph"/>
        <w:keepNext/>
        <w:keepLines/>
        <w:numPr>
          <w:ilvl w:val="0"/>
          <w:numId w:val="23"/>
        </w:numPr>
        <w:spacing w:after="0" w:line="240" w:lineRule="auto"/>
        <w:ind w:left="1440" w:right="720" w:hanging="720"/>
        <w:jc w:val="both"/>
      </w:pPr>
      <w:r w:rsidRPr="0046677E">
        <w:lastRenderedPageBreak/>
        <w:t xml:space="preserve">Coatings of paints, varnishes, lacquers, printing inks, polymers, and similar </w:t>
      </w:r>
      <w:proofErr w:type="gramStart"/>
      <w:r w:rsidRPr="0046677E">
        <w:t>coatings;</w:t>
      </w:r>
      <w:proofErr w:type="gramEnd"/>
    </w:p>
    <w:p w14:paraId="06F29F68" w14:textId="77777777" w:rsidR="000B0E2B" w:rsidRPr="0046677E" w:rsidRDefault="000B0E2B" w:rsidP="007707A1">
      <w:pPr>
        <w:ind w:left="1440" w:right="720" w:hanging="720"/>
      </w:pPr>
    </w:p>
    <w:p w14:paraId="24DA1B65" w14:textId="77777777" w:rsidR="000B0E2B" w:rsidRPr="0046677E" w:rsidRDefault="00264ADC" w:rsidP="007707A1">
      <w:pPr>
        <w:pStyle w:val="ListParagraph"/>
        <w:numPr>
          <w:ilvl w:val="0"/>
          <w:numId w:val="23"/>
        </w:numPr>
        <w:spacing w:after="0" w:line="240" w:lineRule="auto"/>
        <w:ind w:left="1440" w:right="720" w:hanging="720"/>
        <w:jc w:val="both"/>
      </w:pPr>
      <w:r w:rsidRPr="0046677E">
        <w:t xml:space="preserve">Polymeric and similar material, including laminates, whether textile-reinforced or not, but excluding other textiles and non-woven </w:t>
      </w:r>
      <w:proofErr w:type="gramStart"/>
      <w:r w:rsidRPr="0046677E">
        <w:t>textiles;</w:t>
      </w:r>
      <w:proofErr w:type="gramEnd"/>
    </w:p>
    <w:p w14:paraId="5E59B786" w14:textId="77777777" w:rsidR="000B0E2B" w:rsidRPr="0046677E" w:rsidRDefault="000B0E2B" w:rsidP="007707A1">
      <w:pPr>
        <w:ind w:left="1440" w:right="720" w:hanging="720"/>
      </w:pPr>
    </w:p>
    <w:p w14:paraId="32E2749C" w14:textId="77777777" w:rsidR="000B0E2B" w:rsidRPr="0046677E" w:rsidRDefault="00264ADC" w:rsidP="007707A1">
      <w:pPr>
        <w:pStyle w:val="ListParagraph"/>
        <w:numPr>
          <w:ilvl w:val="0"/>
          <w:numId w:val="23"/>
        </w:numPr>
        <w:spacing w:after="0" w:line="240" w:lineRule="auto"/>
        <w:ind w:left="1440" w:right="720" w:hanging="720"/>
        <w:jc w:val="both"/>
      </w:pPr>
      <w:r w:rsidRPr="0046677E">
        <w:t xml:space="preserve">Paper and </w:t>
      </w:r>
      <w:proofErr w:type="gramStart"/>
      <w:r w:rsidRPr="0046677E">
        <w:t>paperboard;</w:t>
      </w:r>
      <w:proofErr w:type="gramEnd"/>
    </w:p>
    <w:p w14:paraId="34A051D9" w14:textId="77777777" w:rsidR="000B0E2B" w:rsidRPr="0046677E" w:rsidRDefault="000B0E2B" w:rsidP="007707A1">
      <w:pPr>
        <w:ind w:left="1440" w:right="720" w:hanging="720"/>
      </w:pPr>
    </w:p>
    <w:p w14:paraId="0570CF1F" w14:textId="77777777" w:rsidR="000B0E2B" w:rsidRPr="0046677E" w:rsidRDefault="00264ADC" w:rsidP="007707A1">
      <w:pPr>
        <w:pStyle w:val="ListParagraph"/>
        <w:numPr>
          <w:ilvl w:val="0"/>
          <w:numId w:val="23"/>
        </w:numPr>
        <w:spacing w:after="0" w:line="240" w:lineRule="auto"/>
        <w:ind w:left="1440" w:right="720" w:hanging="720"/>
        <w:jc w:val="both"/>
      </w:pPr>
      <w:r w:rsidRPr="0046677E">
        <w:t xml:space="preserve">Natural, artificial, or synthetic </w:t>
      </w:r>
      <w:proofErr w:type="gramStart"/>
      <w:r w:rsidRPr="0046677E">
        <w:t>textiles;</w:t>
      </w:r>
      <w:proofErr w:type="gramEnd"/>
    </w:p>
    <w:p w14:paraId="53C69135" w14:textId="77777777" w:rsidR="000B0E2B" w:rsidRPr="0046677E" w:rsidRDefault="000B0E2B" w:rsidP="007707A1">
      <w:pPr>
        <w:ind w:left="1440" w:right="720" w:hanging="720"/>
      </w:pPr>
    </w:p>
    <w:p w14:paraId="03BD79E5" w14:textId="77777777" w:rsidR="000B0E2B" w:rsidRPr="0046677E" w:rsidRDefault="00264ADC" w:rsidP="007707A1">
      <w:pPr>
        <w:pStyle w:val="ListParagraph"/>
        <w:numPr>
          <w:ilvl w:val="0"/>
          <w:numId w:val="23"/>
        </w:numPr>
        <w:spacing w:after="0" w:line="240" w:lineRule="auto"/>
        <w:ind w:left="1440" w:right="720" w:hanging="720"/>
        <w:jc w:val="both"/>
      </w:pPr>
      <w:r w:rsidRPr="0046677E">
        <w:t xml:space="preserve">Glass/ceramic/metallic materials, excepting lead solder when used for electrical </w:t>
      </w:r>
      <w:proofErr w:type="gramStart"/>
      <w:r w:rsidRPr="0046677E">
        <w:t>connections;</w:t>
      </w:r>
      <w:proofErr w:type="gramEnd"/>
    </w:p>
    <w:p w14:paraId="16F9FF4A" w14:textId="77777777" w:rsidR="000B0E2B" w:rsidRPr="0046677E" w:rsidRDefault="000B0E2B" w:rsidP="007707A1">
      <w:pPr>
        <w:ind w:left="1440" w:right="720" w:hanging="720"/>
      </w:pPr>
    </w:p>
    <w:p w14:paraId="0FC37D19" w14:textId="77777777" w:rsidR="000B0E2B" w:rsidRPr="0046677E" w:rsidRDefault="00264ADC" w:rsidP="007707A1">
      <w:pPr>
        <w:pStyle w:val="ListParagraph"/>
        <w:numPr>
          <w:ilvl w:val="0"/>
          <w:numId w:val="23"/>
        </w:numPr>
        <w:spacing w:after="0" w:line="240" w:lineRule="auto"/>
        <w:ind w:left="1440" w:right="720" w:hanging="720"/>
        <w:jc w:val="both"/>
      </w:pPr>
      <w:r w:rsidRPr="0046677E">
        <w:t>Other materials, whether mass-colored or not (</w:t>
      </w:r>
      <w:r w:rsidRPr="0046677E">
        <w:rPr>
          <w:i/>
        </w:rPr>
        <w:t>e.g</w:t>
      </w:r>
      <w:r w:rsidRPr="0046677E">
        <w:t>., wood, fiberboard, hardboard, bone, and leather</w:t>
      </w:r>
      <w:proofErr w:type="gramStart"/>
      <w:r w:rsidRPr="0046677E">
        <w:t>);</w:t>
      </w:r>
      <w:proofErr w:type="gramEnd"/>
    </w:p>
    <w:p w14:paraId="59A2D8EF" w14:textId="77777777" w:rsidR="000B0E2B" w:rsidRPr="0046677E" w:rsidRDefault="000B0E2B" w:rsidP="007707A1">
      <w:pPr>
        <w:ind w:left="1440" w:right="720" w:hanging="720"/>
      </w:pPr>
    </w:p>
    <w:p w14:paraId="57693325" w14:textId="77777777" w:rsidR="000B0E2B" w:rsidRPr="0046677E" w:rsidRDefault="00264ADC" w:rsidP="007707A1">
      <w:pPr>
        <w:pStyle w:val="ListParagraph"/>
        <w:numPr>
          <w:ilvl w:val="0"/>
          <w:numId w:val="23"/>
        </w:numPr>
        <w:spacing w:after="0" w:line="240" w:lineRule="auto"/>
        <w:ind w:left="1440" w:right="720" w:hanging="720"/>
        <w:jc w:val="both"/>
      </w:pPr>
      <w:r w:rsidRPr="0046677E">
        <w:t>Materials intended to leave a trace (</w:t>
      </w:r>
      <w:r w:rsidRPr="0046677E">
        <w:rPr>
          <w:i/>
        </w:rPr>
        <w:t>e.g</w:t>
      </w:r>
      <w:r w:rsidRPr="0046677E">
        <w:t>., the graphite materials in pencils and liquid ink in pens</w:t>
      </w:r>
      <w:proofErr w:type="gramStart"/>
      <w:r w:rsidRPr="0046677E">
        <w:t>);</w:t>
      </w:r>
      <w:proofErr w:type="gramEnd"/>
    </w:p>
    <w:p w14:paraId="79DC08FA" w14:textId="77777777" w:rsidR="000B0E2B" w:rsidRPr="0046677E" w:rsidRDefault="000B0E2B" w:rsidP="007707A1">
      <w:pPr>
        <w:ind w:left="1440" w:right="720" w:hanging="720"/>
      </w:pPr>
    </w:p>
    <w:p w14:paraId="0951464D" w14:textId="77777777" w:rsidR="000B0E2B" w:rsidRPr="0046677E" w:rsidRDefault="00264ADC" w:rsidP="007707A1">
      <w:pPr>
        <w:pStyle w:val="ListParagraph"/>
        <w:numPr>
          <w:ilvl w:val="0"/>
          <w:numId w:val="23"/>
        </w:numPr>
        <w:spacing w:after="0" w:line="240" w:lineRule="auto"/>
        <w:ind w:left="1440" w:right="720" w:hanging="720"/>
        <w:jc w:val="both"/>
      </w:pPr>
      <w:r w:rsidRPr="0046677E">
        <w:t>Pliable modeling materials, including modeling clays and gels; and</w:t>
      </w:r>
    </w:p>
    <w:p w14:paraId="0E02A59B" w14:textId="77777777" w:rsidR="000B0E2B" w:rsidRPr="0046677E" w:rsidRDefault="000B0E2B" w:rsidP="007707A1">
      <w:pPr>
        <w:ind w:left="1440" w:right="720" w:hanging="720"/>
      </w:pPr>
    </w:p>
    <w:p w14:paraId="1697F68A" w14:textId="77777777" w:rsidR="000B0E2B" w:rsidRPr="0046677E" w:rsidRDefault="00264ADC" w:rsidP="007707A1">
      <w:pPr>
        <w:pStyle w:val="ListParagraph"/>
        <w:numPr>
          <w:ilvl w:val="0"/>
          <w:numId w:val="23"/>
        </w:numPr>
        <w:spacing w:after="0" w:line="240" w:lineRule="auto"/>
        <w:ind w:left="1440" w:right="720" w:hanging="720"/>
        <w:jc w:val="both"/>
      </w:pPr>
      <w:r w:rsidRPr="0046677E">
        <w:t>Paints to be used as such in the toy, including finger paints, varnishes, lacquers, glazing powders, and similar material in solid or liquid form.</w:t>
      </w:r>
    </w:p>
    <w:p w14:paraId="5ED9CDB2" w14:textId="77777777" w:rsidR="000B0E2B" w:rsidRPr="0046677E" w:rsidRDefault="000B0E2B" w:rsidP="007707A1"/>
    <w:p w14:paraId="64B4FD07" w14:textId="77777777" w:rsidR="000B0E2B" w:rsidRPr="0046677E" w:rsidRDefault="00264ADC" w:rsidP="007707A1">
      <w:r w:rsidRPr="0046677E">
        <w:t>The limits apply to the following toys and toy components of toys and toy materials:</w:t>
      </w:r>
    </w:p>
    <w:p w14:paraId="0E5BEDCE" w14:textId="77777777" w:rsidR="000B0E2B" w:rsidRPr="0046677E" w:rsidRDefault="000B0E2B" w:rsidP="007707A1"/>
    <w:p w14:paraId="77BEBFC4" w14:textId="77777777" w:rsidR="000B0E2B" w:rsidRPr="0046677E" w:rsidRDefault="00264ADC" w:rsidP="007707A1">
      <w:pPr>
        <w:pStyle w:val="ListParagraph"/>
        <w:numPr>
          <w:ilvl w:val="0"/>
          <w:numId w:val="24"/>
        </w:numPr>
        <w:spacing w:after="0" w:line="240" w:lineRule="auto"/>
        <w:ind w:left="1440" w:right="720" w:hanging="720"/>
        <w:jc w:val="both"/>
      </w:pPr>
      <w:r w:rsidRPr="0046677E">
        <w:t xml:space="preserve">All intended food and oral contact toys, cosmetic toys, and writing instruments categorized as toys, irrespective of any age grading or recommended age </w:t>
      </w:r>
      <w:proofErr w:type="gramStart"/>
      <w:r w:rsidRPr="0046677E">
        <w:t>labeling;</w:t>
      </w:r>
      <w:proofErr w:type="gramEnd"/>
    </w:p>
    <w:p w14:paraId="6BCFAA6D" w14:textId="77777777" w:rsidR="000B0E2B" w:rsidRPr="0046677E" w:rsidRDefault="000B0E2B" w:rsidP="007707A1">
      <w:pPr>
        <w:ind w:left="1440" w:right="720" w:hanging="720"/>
      </w:pPr>
    </w:p>
    <w:p w14:paraId="18CA0AEA" w14:textId="77777777" w:rsidR="000B0E2B" w:rsidRPr="0046677E" w:rsidRDefault="00264ADC" w:rsidP="007707A1">
      <w:pPr>
        <w:pStyle w:val="ListParagraph"/>
        <w:numPr>
          <w:ilvl w:val="0"/>
          <w:numId w:val="24"/>
        </w:numPr>
        <w:spacing w:after="0" w:line="240" w:lineRule="auto"/>
        <w:ind w:left="1440" w:right="720" w:hanging="720"/>
        <w:jc w:val="both"/>
      </w:pPr>
      <w:r w:rsidRPr="0046677E">
        <w:t xml:space="preserve">All toys intended for or suitable for children under 72 months of </w:t>
      </w:r>
      <w:proofErr w:type="gramStart"/>
      <w:r w:rsidRPr="0046677E">
        <w:t>age;</w:t>
      </w:r>
      <w:proofErr w:type="gramEnd"/>
    </w:p>
    <w:p w14:paraId="1A117B77" w14:textId="77777777" w:rsidR="000B0E2B" w:rsidRPr="0046677E" w:rsidRDefault="000B0E2B" w:rsidP="007707A1">
      <w:pPr>
        <w:ind w:left="1440" w:right="720" w:hanging="720"/>
      </w:pPr>
    </w:p>
    <w:p w14:paraId="2BBA5082" w14:textId="77777777" w:rsidR="000B0E2B" w:rsidRPr="0046677E" w:rsidRDefault="00264ADC" w:rsidP="007707A1">
      <w:pPr>
        <w:pStyle w:val="ListParagraph"/>
        <w:numPr>
          <w:ilvl w:val="0"/>
          <w:numId w:val="24"/>
        </w:numPr>
        <w:spacing w:after="0" w:line="240" w:lineRule="auto"/>
        <w:ind w:left="1440" w:right="720" w:hanging="720"/>
        <w:jc w:val="both"/>
      </w:pPr>
      <w:r w:rsidRPr="0046677E">
        <w:t>Accessible coatings, irrespective of any age grading or recommended age labeling; and</w:t>
      </w:r>
    </w:p>
    <w:p w14:paraId="25AF619F" w14:textId="77777777" w:rsidR="000B0E2B" w:rsidRPr="0046677E" w:rsidRDefault="000B0E2B" w:rsidP="007707A1">
      <w:pPr>
        <w:ind w:left="1440" w:right="720" w:hanging="720"/>
      </w:pPr>
    </w:p>
    <w:p w14:paraId="5440D4CC" w14:textId="77777777" w:rsidR="000B0E2B" w:rsidRPr="0046677E" w:rsidRDefault="00264ADC" w:rsidP="007707A1">
      <w:pPr>
        <w:pStyle w:val="ListParagraph"/>
        <w:numPr>
          <w:ilvl w:val="0"/>
          <w:numId w:val="24"/>
        </w:numPr>
        <w:spacing w:after="0" w:line="240" w:lineRule="auto"/>
        <w:ind w:left="1440" w:right="720" w:hanging="720"/>
        <w:jc w:val="both"/>
      </w:pPr>
      <w:r w:rsidRPr="0046677E">
        <w:t>Accessible liquids, pastes, and gels (</w:t>
      </w:r>
      <w:r w:rsidRPr="0046677E">
        <w:rPr>
          <w:i/>
        </w:rPr>
        <w:t>e.g</w:t>
      </w:r>
      <w:r w:rsidRPr="0046677E">
        <w:t>., liquid paints, modeling compounds), irrespective of any age grading or recommended age labeling.</w:t>
      </w:r>
    </w:p>
    <w:p w14:paraId="56306D40" w14:textId="77777777" w:rsidR="000B0E2B" w:rsidRPr="0046677E" w:rsidRDefault="000B0E2B" w:rsidP="007707A1"/>
    <w:p w14:paraId="1ADC139C" w14:textId="77777777" w:rsidR="000B0E2B" w:rsidRPr="0046677E" w:rsidRDefault="00264ADC" w:rsidP="00740886">
      <w:pPr>
        <w:keepNext/>
        <w:keepLines/>
        <w:widowControl/>
        <w:jc w:val="center"/>
        <w:rPr>
          <w:b/>
        </w:rPr>
      </w:pPr>
      <w:r w:rsidRPr="0046677E">
        <w:rPr>
          <w:b/>
        </w:rPr>
        <w:lastRenderedPageBreak/>
        <w:t>ISRAEL</w:t>
      </w:r>
    </w:p>
    <w:p w14:paraId="07E8F59B" w14:textId="77777777" w:rsidR="000B0E2B" w:rsidRPr="0046677E" w:rsidRDefault="000B0E2B" w:rsidP="00740886">
      <w:pPr>
        <w:keepNext/>
        <w:keepLines/>
        <w:widowControl/>
      </w:pPr>
    </w:p>
    <w:p w14:paraId="0F22FC0D" w14:textId="77777777" w:rsidR="000B0E2B" w:rsidRPr="0046677E" w:rsidRDefault="00264ADC" w:rsidP="00740886">
      <w:pPr>
        <w:keepNext/>
        <w:keepLines/>
        <w:widowControl/>
        <w:rPr>
          <w:b/>
        </w:rPr>
      </w:pPr>
      <w:r w:rsidRPr="003256E8">
        <w:rPr>
          <w:b/>
          <w:highlight w:val="yellow"/>
        </w:rPr>
        <w:t xml:space="preserve">Cadmium Limit </w:t>
      </w:r>
      <w:proofErr w:type="gramStart"/>
      <w:r w:rsidRPr="003256E8">
        <w:rPr>
          <w:b/>
          <w:highlight w:val="yellow"/>
        </w:rPr>
        <w:t>In</w:t>
      </w:r>
      <w:proofErr w:type="gramEnd"/>
      <w:r w:rsidRPr="003256E8">
        <w:rPr>
          <w:b/>
          <w:highlight w:val="yellow"/>
        </w:rPr>
        <w:t xml:space="preserve"> Certain FCMs Will Be Mandatory</w:t>
      </w:r>
    </w:p>
    <w:p w14:paraId="4C2C2FCD" w14:textId="77777777" w:rsidR="000B0E2B" w:rsidRPr="0046677E" w:rsidRDefault="000B0E2B" w:rsidP="00740886">
      <w:pPr>
        <w:keepNext/>
        <w:keepLines/>
        <w:widowControl/>
      </w:pPr>
    </w:p>
    <w:p w14:paraId="5632A456" w14:textId="77777777" w:rsidR="000B0E2B" w:rsidRPr="0046677E" w:rsidRDefault="00264ADC" w:rsidP="00740886">
      <w:pPr>
        <w:keepNext/>
        <w:keepLines/>
        <w:widowControl/>
      </w:pPr>
      <w:r w:rsidRPr="0046677E">
        <w:t xml:space="preserve">On March 31, 2020, Israel notified WTO that it is making mandatory the permissible limits of, and testing methods for, lead and </w:t>
      </w:r>
      <w:r w:rsidRPr="0046677E">
        <w:rPr>
          <w:b/>
        </w:rPr>
        <w:t>cadmium</w:t>
      </w:r>
      <w:r w:rsidRPr="0046677E">
        <w:t xml:space="preserve"> in FCMs made of porcelain, glass, or coated in ceramic.  The update enforces the requirements of a previously voluntary standard from 2013, SI 1003.  This adopted international standards ISO 4531:1998, Parts 1 and 2, and ISO 7086:2000, Parts 1 and 2.</w:t>
      </w:r>
    </w:p>
    <w:p w14:paraId="6FD7616A" w14:textId="77777777" w:rsidR="000B0E2B" w:rsidRPr="0046677E" w:rsidRDefault="000B0E2B" w:rsidP="007707A1">
      <w:pPr>
        <w:widowControl/>
      </w:pPr>
    </w:p>
    <w:p w14:paraId="34C1081C" w14:textId="77777777" w:rsidR="000B0E2B" w:rsidRPr="0046677E" w:rsidRDefault="00264ADC" w:rsidP="007707A1">
      <w:pPr>
        <w:widowControl/>
        <w:jc w:val="center"/>
        <w:rPr>
          <w:b/>
          <w:bCs/>
        </w:rPr>
      </w:pPr>
      <w:r w:rsidRPr="0046677E">
        <w:rPr>
          <w:b/>
          <w:bCs/>
        </w:rPr>
        <w:t>MALAYSIA</w:t>
      </w:r>
    </w:p>
    <w:p w14:paraId="6C60E386" w14:textId="77777777" w:rsidR="000B0E2B" w:rsidRPr="0046677E" w:rsidRDefault="000B0E2B" w:rsidP="007707A1"/>
    <w:p w14:paraId="5C058536" w14:textId="77777777" w:rsidR="000B0E2B" w:rsidRPr="0046677E" w:rsidRDefault="00264ADC" w:rsidP="007707A1">
      <w:pPr>
        <w:rPr>
          <w:b/>
        </w:rPr>
      </w:pPr>
      <w:r w:rsidRPr="0021651D">
        <w:rPr>
          <w:b/>
          <w:highlight w:val="yellow"/>
        </w:rPr>
        <w:t xml:space="preserve">MOH Intends </w:t>
      </w:r>
      <w:proofErr w:type="gramStart"/>
      <w:r w:rsidRPr="0021651D">
        <w:rPr>
          <w:b/>
          <w:highlight w:val="yellow"/>
        </w:rPr>
        <w:t>To</w:t>
      </w:r>
      <w:proofErr w:type="gramEnd"/>
      <w:r w:rsidRPr="0021651D">
        <w:rPr>
          <w:b/>
          <w:highlight w:val="yellow"/>
        </w:rPr>
        <w:t xml:space="preserve"> Propose Maximum Release Amount For Cadmium In Cookware</w:t>
      </w:r>
    </w:p>
    <w:p w14:paraId="5AD45A6F" w14:textId="77777777" w:rsidR="000B0E2B" w:rsidRPr="0046677E" w:rsidRDefault="000B0E2B" w:rsidP="007707A1"/>
    <w:p w14:paraId="1F9E2ACB" w14:textId="77777777" w:rsidR="000B0E2B" w:rsidRPr="0046677E" w:rsidRDefault="00264ADC" w:rsidP="007707A1">
      <w:r w:rsidRPr="0046677E">
        <w:t xml:space="preserve">On March 31, 2020, MOH notified WTO that it intends to amend its food regulations to include cookware within the scope of ceramic ware and to include maximum release amounts for lead and </w:t>
      </w:r>
      <w:r w:rsidRPr="0046677E">
        <w:rPr>
          <w:b/>
        </w:rPr>
        <w:t>cadmium</w:t>
      </w:r>
      <w:r w:rsidRPr="0046677E">
        <w:t xml:space="preserve"> in cookware.  For </w:t>
      </w:r>
      <w:r w:rsidRPr="0046677E">
        <w:rPr>
          <w:b/>
        </w:rPr>
        <w:t>cadmium</w:t>
      </w:r>
      <w:r w:rsidRPr="0046677E">
        <w:t xml:space="preserve">, the maximum release amount would be 0.05 mg/L.  Ceramic ware is defined as “intended to be used in the preparation, packaging, storage, delivery or exposure of food for human consumption.”  It includes bone china; porcelain; vitrified china; earthenware; stoneware; and any other classification of ceramic tableware, including hotel ware and terracotta.  </w:t>
      </w:r>
    </w:p>
    <w:p w14:paraId="11DC78C1" w14:textId="77777777" w:rsidR="000B0E2B" w:rsidRPr="0046677E" w:rsidRDefault="000B0E2B" w:rsidP="007707A1">
      <w:pPr>
        <w:widowControl/>
      </w:pPr>
    </w:p>
    <w:p w14:paraId="521130C5" w14:textId="77777777" w:rsidR="000B0E2B" w:rsidRPr="0046677E" w:rsidRDefault="00264ADC" w:rsidP="007707A1">
      <w:pPr>
        <w:widowControl/>
        <w:rPr>
          <w:b/>
        </w:rPr>
      </w:pPr>
      <w:r w:rsidRPr="0021651D">
        <w:rPr>
          <w:b/>
          <w:highlight w:val="yellow"/>
        </w:rPr>
        <w:t xml:space="preserve">Greenpeace Publishes Report </w:t>
      </w:r>
      <w:proofErr w:type="gramStart"/>
      <w:r w:rsidRPr="0021651D">
        <w:rPr>
          <w:b/>
          <w:highlight w:val="yellow"/>
        </w:rPr>
        <w:t>On</w:t>
      </w:r>
      <w:proofErr w:type="gramEnd"/>
      <w:r w:rsidRPr="0021651D">
        <w:rPr>
          <w:b/>
          <w:highlight w:val="yellow"/>
        </w:rPr>
        <w:t xml:space="preserve"> Toxic After-Effects Of Imported Plastic Waste In Malaysia</w:t>
      </w:r>
    </w:p>
    <w:p w14:paraId="7888D94B" w14:textId="77777777" w:rsidR="000B0E2B" w:rsidRPr="0046677E" w:rsidRDefault="000B0E2B" w:rsidP="007707A1">
      <w:pPr>
        <w:widowControl/>
      </w:pPr>
    </w:p>
    <w:p w14:paraId="35050962" w14:textId="77777777" w:rsidR="000B0E2B" w:rsidRPr="0046677E" w:rsidRDefault="00264ADC" w:rsidP="007707A1">
      <w:pPr>
        <w:widowControl/>
      </w:pPr>
      <w:r w:rsidRPr="0046677E">
        <w:t>On May 27, 2020, Greenpeace released a report entitled “</w:t>
      </w:r>
      <w:hyperlink r:id="rId34" w:history="1">
        <w:r w:rsidRPr="0046677E">
          <w:rPr>
            <w:rStyle w:val="Hyperlink"/>
          </w:rPr>
          <w:t>The Recycling Myth 2.0:  The Toxic After-Effects of Imported Plastic Waste in Malaysia</w:t>
        </w:r>
      </w:hyperlink>
      <w:r w:rsidRPr="0046677E">
        <w:t>.”  Greenpeace carried out a joint investigation in July and August 2019 at several locations suspected to have onsite imported plastic waste.  Greenpeace notes that overall, the findings from these investigations have revealed that shredded plastic disposed at several dumpsites in Malaysia contain a range of metals, metalloids, and organic chemicals, including POPs, that have likely been contaminating the surrounding environments during their storage or processing/recycling activities.  The report’s key findings include:</w:t>
      </w:r>
    </w:p>
    <w:p w14:paraId="1D45C740" w14:textId="77777777" w:rsidR="000B0E2B" w:rsidRPr="0046677E" w:rsidRDefault="000B0E2B" w:rsidP="007707A1">
      <w:pPr>
        <w:widowControl/>
      </w:pPr>
    </w:p>
    <w:p w14:paraId="18F9A324" w14:textId="77777777" w:rsidR="000B0E2B" w:rsidRPr="0046677E" w:rsidRDefault="00264ADC" w:rsidP="007707A1">
      <w:pPr>
        <w:pStyle w:val="ListParagraph"/>
        <w:numPr>
          <w:ilvl w:val="0"/>
          <w:numId w:val="29"/>
        </w:numPr>
        <w:spacing w:after="0" w:line="240" w:lineRule="auto"/>
        <w:ind w:left="1440" w:right="720" w:hanging="720"/>
        <w:jc w:val="both"/>
        <w:rPr>
          <w:szCs w:val="24"/>
        </w:rPr>
      </w:pPr>
      <w:r w:rsidRPr="0046677E">
        <w:rPr>
          <w:szCs w:val="24"/>
        </w:rPr>
        <w:t xml:space="preserve">Investigations at the unregulated, and now abandoned, dumpsite at Sri </w:t>
      </w:r>
      <w:proofErr w:type="spellStart"/>
      <w:r w:rsidRPr="0046677E">
        <w:rPr>
          <w:szCs w:val="24"/>
        </w:rPr>
        <w:t>Cheeding</w:t>
      </w:r>
      <w:proofErr w:type="spellEnd"/>
      <w:r w:rsidRPr="0046677E">
        <w:rPr>
          <w:szCs w:val="24"/>
        </w:rPr>
        <w:t xml:space="preserve"> has been filled and covered with shredded plastics as a layer of topsoil.  The layer of topsoil is contaminated with high concentrations of heavy metals, including </w:t>
      </w:r>
      <w:r w:rsidRPr="0046677E">
        <w:rPr>
          <w:b/>
          <w:szCs w:val="24"/>
        </w:rPr>
        <w:t>cadmium</w:t>
      </w:r>
      <w:r w:rsidRPr="0046677E">
        <w:rPr>
          <w:szCs w:val="24"/>
        </w:rPr>
        <w:t xml:space="preserve"> and lead, relative to background environmental levels.  Laboratory tests also revealed the presence of persistent organic compounds such as brominated flame retardants and phthalates from this site.</w:t>
      </w:r>
    </w:p>
    <w:p w14:paraId="3BF45B18" w14:textId="77777777" w:rsidR="000B0E2B" w:rsidRPr="0046677E" w:rsidRDefault="000B0E2B" w:rsidP="007707A1">
      <w:pPr>
        <w:widowControl/>
      </w:pPr>
    </w:p>
    <w:p w14:paraId="28577858" w14:textId="77777777" w:rsidR="000B0E2B" w:rsidRPr="0046677E" w:rsidRDefault="00264ADC" w:rsidP="00740886">
      <w:pPr>
        <w:keepNext/>
        <w:keepLines/>
        <w:widowControl/>
      </w:pPr>
      <w:r w:rsidRPr="0046677E">
        <w:lastRenderedPageBreak/>
        <w:t xml:space="preserve">The report states: </w:t>
      </w:r>
    </w:p>
    <w:p w14:paraId="3EB08C87" w14:textId="77777777" w:rsidR="000B0E2B" w:rsidRPr="0046677E" w:rsidRDefault="000B0E2B" w:rsidP="00740886">
      <w:pPr>
        <w:keepNext/>
        <w:keepLines/>
        <w:widowControl/>
      </w:pPr>
    </w:p>
    <w:p w14:paraId="160BF89A" w14:textId="77777777" w:rsidR="000B0E2B" w:rsidRPr="0046677E" w:rsidRDefault="00264ADC" w:rsidP="00740886">
      <w:pPr>
        <w:keepNext/>
        <w:keepLines/>
        <w:widowControl/>
        <w:ind w:left="1440" w:right="1440"/>
      </w:pPr>
      <w:r w:rsidRPr="0046677E">
        <w:t xml:space="preserve">The detection of heavy metals like </w:t>
      </w:r>
      <w:r w:rsidRPr="0046677E">
        <w:rPr>
          <w:b/>
        </w:rPr>
        <w:t>cadmium</w:t>
      </w:r>
      <w:r w:rsidRPr="0046677E">
        <w:t xml:space="preserve"> and lead are a matter of concern.  Most of the pollutants identified in the tests conducted can potentially remain in the soil for a very long </w:t>
      </w:r>
      <w:proofErr w:type="gramStart"/>
      <w:r w:rsidRPr="0046677E">
        <w:t>period of time</w:t>
      </w:r>
      <w:proofErr w:type="gramEnd"/>
      <w:r w:rsidRPr="0046677E">
        <w:t>.  High levels of the heavy metals identified can also cause secondary pollution to nearby water sources.  Such contamination has the potential of bearing hazardous impacts to flora, fauna including microorganisms and humans.</w:t>
      </w:r>
    </w:p>
    <w:p w14:paraId="644CF273" w14:textId="77777777" w:rsidR="000B0E2B" w:rsidRPr="0046677E" w:rsidRDefault="000B0E2B" w:rsidP="007707A1">
      <w:pPr>
        <w:widowControl/>
      </w:pPr>
    </w:p>
    <w:p w14:paraId="76FE230E" w14:textId="77777777" w:rsidR="000B0E2B" w:rsidRPr="0046677E" w:rsidRDefault="00264ADC" w:rsidP="007707A1">
      <w:pPr>
        <w:widowControl/>
        <w:jc w:val="center"/>
      </w:pPr>
      <w:bookmarkStart w:id="49" w:name="_UNEP_Publishes_Report"/>
      <w:bookmarkEnd w:id="49"/>
      <w:r w:rsidRPr="0046677E">
        <w:t>*</w:t>
      </w:r>
      <w:r w:rsidRPr="0046677E">
        <w:tab/>
        <w:t>*</w:t>
      </w:r>
      <w:r w:rsidRPr="0046677E">
        <w:tab/>
        <w:t>*</w:t>
      </w:r>
      <w:r w:rsidRPr="0046677E">
        <w:tab/>
        <w:t>*</w:t>
      </w:r>
      <w:r w:rsidRPr="0046677E">
        <w:tab/>
        <w:t>*</w:t>
      </w:r>
    </w:p>
    <w:p w14:paraId="0E93C4E7" w14:textId="77777777" w:rsidR="000B0E2B" w:rsidRPr="0046677E" w:rsidRDefault="000B0E2B" w:rsidP="007707A1">
      <w:pPr>
        <w:widowControl/>
        <w:rPr>
          <w:color w:val="000000"/>
        </w:rPr>
      </w:pPr>
    </w:p>
    <w:p w14:paraId="55F58C49" w14:textId="77777777" w:rsidR="000B0E2B" w:rsidRPr="0046677E" w:rsidRDefault="00264ADC" w:rsidP="007707A1">
      <w:pPr>
        <w:widowControl/>
        <w:rPr>
          <w:color w:val="000000"/>
        </w:rPr>
      </w:pPr>
      <w:r w:rsidRPr="0046677E">
        <w:rPr>
          <w:color w:val="000000"/>
        </w:rPr>
        <w:t xml:space="preserve">Unless otherwise noted, if you have questions about any item summarized above, please call or e-mail Lynn L. Bergeson at (202) 557-3801 or </w:t>
      </w:r>
      <w:hyperlink r:id="rId35" w:history="1">
        <w:r w:rsidRPr="0046677E">
          <w:rPr>
            <w:rStyle w:val="Hyperlink"/>
          </w:rPr>
          <w:t>lbergeson@lawbc.com</w:t>
        </w:r>
      </w:hyperlink>
      <w:r w:rsidRPr="0046677E">
        <w:rPr>
          <w:color w:val="000000"/>
        </w:rPr>
        <w:t xml:space="preserve">, or Carla N. Hutton at (202) 557-3809 or </w:t>
      </w:r>
      <w:hyperlink r:id="rId36" w:history="1">
        <w:r w:rsidRPr="0046677E">
          <w:rPr>
            <w:rStyle w:val="Hyperlink"/>
          </w:rPr>
          <w:t>chutton@lawbc.com</w:t>
        </w:r>
      </w:hyperlink>
      <w:r w:rsidRPr="0046677E">
        <w:rPr>
          <w:color w:val="000000"/>
        </w:rPr>
        <w:t>.</w:t>
      </w:r>
    </w:p>
    <w:p w14:paraId="4813B977" w14:textId="77777777" w:rsidR="000B0E2B" w:rsidRPr="0046677E" w:rsidRDefault="00264ADC" w:rsidP="007707A1">
      <w:pPr>
        <w:pStyle w:val="Heading2"/>
        <w:keepNext w:val="0"/>
        <w:spacing w:before="0" w:after="0"/>
        <w:jc w:val="center"/>
        <w:rPr>
          <w:rFonts w:ascii="Times New Roman" w:hAnsi="Times New Roman" w:cs="Times New Roman"/>
          <w:i w:val="0"/>
          <w:sz w:val="24"/>
          <w:szCs w:val="24"/>
        </w:rPr>
      </w:pPr>
      <w:r w:rsidRPr="0046677E">
        <w:rPr>
          <w:rFonts w:ascii="Times New Roman" w:hAnsi="Times New Roman" w:cs="Times New Roman"/>
          <w:i w:val="0"/>
          <w:sz w:val="24"/>
          <w:szCs w:val="24"/>
        </w:rPr>
        <w:br w:type="page"/>
      </w:r>
      <w:r w:rsidRPr="0046677E">
        <w:rPr>
          <w:rFonts w:ascii="Times New Roman" w:hAnsi="Times New Roman" w:cs="Times New Roman"/>
          <w:i w:val="0"/>
          <w:sz w:val="24"/>
          <w:szCs w:val="24"/>
        </w:rPr>
        <w:lastRenderedPageBreak/>
        <w:t>ACRONYMS</w:t>
      </w:r>
    </w:p>
    <w:p w14:paraId="37BEE81E" w14:textId="77777777" w:rsidR="000B0E2B" w:rsidRPr="0046677E" w:rsidRDefault="000B0E2B" w:rsidP="007707A1"/>
    <w:p w14:paraId="31DB913A" w14:textId="77777777" w:rsidR="000B0E2B" w:rsidRPr="0046677E" w:rsidRDefault="00264ADC" w:rsidP="007707A1">
      <w:pPr>
        <w:tabs>
          <w:tab w:val="left" w:pos="720"/>
        </w:tabs>
        <w:rPr>
          <w:color w:val="000000"/>
        </w:rPr>
      </w:pPr>
      <w:r w:rsidRPr="0046677E">
        <w:rPr>
          <w:b/>
          <w:color w:val="000000"/>
        </w:rPr>
        <w:t>µg/m</w:t>
      </w:r>
      <w:r w:rsidRPr="0046677E">
        <w:rPr>
          <w:b/>
          <w:color w:val="000000"/>
          <w:vertAlign w:val="superscript"/>
        </w:rPr>
        <w:t>3</w:t>
      </w:r>
      <w:r w:rsidRPr="0046677E">
        <w:rPr>
          <w:color w:val="000000"/>
        </w:rPr>
        <w:t xml:space="preserve"> -- Microgram per Cubic Meter</w:t>
      </w:r>
    </w:p>
    <w:p w14:paraId="4F5F3F1A" w14:textId="77777777" w:rsidR="000B0E2B" w:rsidRPr="0046677E" w:rsidRDefault="00264ADC" w:rsidP="007707A1">
      <w:pPr>
        <w:tabs>
          <w:tab w:val="left" w:pos="720"/>
        </w:tabs>
      </w:pPr>
      <w:r w:rsidRPr="0046677E">
        <w:rPr>
          <w:b/>
        </w:rPr>
        <w:t>AICIS</w:t>
      </w:r>
      <w:r w:rsidRPr="0046677E">
        <w:t xml:space="preserve"> -- Australian Industrial Chemicals Introduction Scheme</w:t>
      </w:r>
    </w:p>
    <w:p w14:paraId="1404AAE7" w14:textId="77777777" w:rsidR="000B0E2B" w:rsidRPr="0046677E" w:rsidRDefault="00264ADC" w:rsidP="007707A1">
      <w:pPr>
        <w:tabs>
          <w:tab w:val="left" w:pos="720"/>
        </w:tabs>
        <w:rPr>
          <w:rFonts w:eastAsia="Calibri"/>
          <w:szCs w:val="22"/>
        </w:rPr>
      </w:pPr>
      <w:r w:rsidRPr="0046677E">
        <w:rPr>
          <w:rFonts w:eastAsia="Calibri"/>
          <w:b/>
          <w:szCs w:val="22"/>
        </w:rPr>
        <w:t>ANPRM</w:t>
      </w:r>
      <w:r w:rsidRPr="0046677E">
        <w:rPr>
          <w:rFonts w:eastAsia="Calibri"/>
          <w:szCs w:val="22"/>
        </w:rPr>
        <w:t xml:space="preserve"> -- Advance Notice of Proposed Rulemaking</w:t>
      </w:r>
    </w:p>
    <w:p w14:paraId="121D2D52" w14:textId="77777777" w:rsidR="000B0E2B" w:rsidRPr="0046677E" w:rsidRDefault="00264ADC" w:rsidP="007707A1">
      <w:pPr>
        <w:tabs>
          <w:tab w:val="left" w:pos="720"/>
        </w:tabs>
      </w:pPr>
      <w:r w:rsidRPr="0046677E">
        <w:rPr>
          <w:b/>
        </w:rPr>
        <w:t>ATSDR</w:t>
      </w:r>
      <w:r w:rsidRPr="0046677E">
        <w:t xml:space="preserve"> -- Agency for Toxic Substances and Disease Registry</w:t>
      </w:r>
    </w:p>
    <w:p w14:paraId="04606E9F" w14:textId="77777777" w:rsidR="000B0E2B" w:rsidRPr="0046677E" w:rsidRDefault="00264ADC" w:rsidP="007707A1">
      <w:pPr>
        <w:tabs>
          <w:tab w:val="left" w:pos="720"/>
        </w:tabs>
      </w:pPr>
      <w:r w:rsidRPr="0046677E">
        <w:rPr>
          <w:b/>
        </w:rPr>
        <w:t>B&amp;C</w:t>
      </w:r>
      <w:r w:rsidRPr="0046677E">
        <w:t xml:space="preserve"> -- Bergeson &amp; Campbell, P.C.</w:t>
      </w:r>
    </w:p>
    <w:p w14:paraId="02807659" w14:textId="77777777" w:rsidR="000B0E2B" w:rsidRPr="0046677E" w:rsidRDefault="00264ADC" w:rsidP="007707A1">
      <w:r w:rsidRPr="0046677E">
        <w:rPr>
          <w:b/>
        </w:rPr>
        <w:t>BLM</w:t>
      </w:r>
      <w:r w:rsidRPr="0046677E">
        <w:t xml:space="preserve"> -- Bureau of Land Management</w:t>
      </w:r>
    </w:p>
    <w:p w14:paraId="1548EABC" w14:textId="77777777" w:rsidR="000B0E2B" w:rsidRPr="0046677E" w:rsidRDefault="00264ADC" w:rsidP="007707A1">
      <w:r w:rsidRPr="0046677E">
        <w:rPr>
          <w:b/>
        </w:rPr>
        <w:t>CDR</w:t>
      </w:r>
      <w:r w:rsidRPr="0046677E">
        <w:t xml:space="preserve"> -- Chemical Data Reporting</w:t>
      </w:r>
    </w:p>
    <w:p w14:paraId="2961DCD5" w14:textId="77777777" w:rsidR="000B0E2B" w:rsidRPr="0046677E" w:rsidRDefault="00264ADC" w:rsidP="007707A1">
      <w:r w:rsidRPr="0046677E">
        <w:rPr>
          <w:b/>
        </w:rPr>
        <w:t>CEDB</w:t>
      </w:r>
      <w:r w:rsidRPr="0046677E">
        <w:t xml:space="preserve"> -- Commerce and Economic Development Bureau</w:t>
      </w:r>
    </w:p>
    <w:p w14:paraId="2A619A24" w14:textId="77777777" w:rsidR="000B0E2B" w:rsidRPr="0046677E" w:rsidRDefault="00264ADC" w:rsidP="007707A1">
      <w:r w:rsidRPr="0046677E">
        <w:rPr>
          <w:b/>
        </w:rPr>
        <w:t>CERCLA</w:t>
      </w:r>
      <w:r w:rsidRPr="0046677E">
        <w:t xml:space="preserve"> </w:t>
      </w:r>
      <w:proofErr w:type="gramStart"/>
      <w:r w:rsidRPr="0046677E">
        <w:t>--  Comprehensive</w:t>
      </w:r>
      <w:proofErr w:type="gramEnd"/>
      <w:r w:rsidRPr="0046677E">
        <w:t xml:space="preserve"> Environmental Response, Compensation, and Liability Act</w:t>
      </w:r>
    </w:p>
    <w:p w14:paraId="7D632AD8" w14:textId="77777777" w:rsidR="000B0E2B" w:rsidRPr="0046677E" w:rsidRDefault="00264ADC" w:rsidP="007707A1">
      <w:pPr>
        <w:tabs>
          <w:tab w:val="left" w:pos="720"/>
        </w:tabs>
      </w:pPr>
      <w:r w:rsidRPr="0046677E">
        <w:rPr>
          <w:b/>
        </w:rPr>
        <w:t>CPIT</w:t>
      </w:r>
      <w:r w:rsidRPr="0046677E">
        <w:t xml:space="preserve"> -- Chemicals in Products Interagency Team</w:t>
      </w:r>
    </w:p>
    <w:p w14:paraId="606FA384" w14:textId="77777777" w:rsidR="000B0E2B" w:rsidRPr="0046677E" w:rsidRDefault="00264ADC" w:rsidP="007707A1">
      <w:r w:rsidRPr="0046677E">
        <w:rPr>
          <w:b/>
        </w:rPr>
        <w:t>DOEE</w:t>
      </w:r>
      <w:r w:rsidRPr="0046677E">
        <w:t xml:space="preserve"> -- Department of Energy and Environment</w:t>
      </w:r>
    </w:p>
    <w:p w14:paraId="35E0F351" w14:textId="77777777" w:rsidR="000B0E2B" w:rsidRPr="0046677E" w:rsidRDefault="00264ADC" w:rsidP="007707A1">
      <w:pPr>
        <w:tabs>
          <w:tab w:val="left" w:pos="720"/>
        </w:tabs>
        <w:rPr>
          <w:bCs/>
        </w:rPr>
      </w:pPr>
      <w:r w:rsidRPr="0046677E">
        <w:rPr>
          <w:b/>
          <w:bCs/>
        </w:rPr>
        <w:t>EDF</w:t>
      </w:r>
      <w:r w:rsidR="00CD3E97" w:rsidRPr="0046677E">
        <w:rPr>
          <w:bCs/>
        </w:rPr>
        <w:t xml:space="preserve"> -- Environmental Defense Fund</w:t>
      </w:r>
    </w:p>
    <w:p w14:paraId="11E347A4" w14:textId="77777777" w:rsidR="000B0E2B" w:rsidRPr="0046677E" w:rsidRDefault="00264ADC" w:rsidP="007707A1">
      <w:pPr>
        <w:tabs>
          <w:tab w:val="left" w:pos="720"/>
        </w:tabs>
        <w:rPr>
          <w:bCs/>
        </w:rPr>
      </w:pPr>
      <w:r w:rsidRPr="0046677E">
        <w:rPr>
          <w:b/>
          <w:bCs/>
        </w:rPr>
        <w:t>EIS</w:t>
      </w:r>
      <w:r w:rsidRPr="0046677E">
        <w:rPr>
          <w:bCs/>
        </w:rPr>
        <w:t xml:space="preserve"> -- Environmental Impact Statement</w:t>
      </w:r>
    </w:p>
    <w:p w14:paraId="5740108E" w14:textId="77777777" w:rsidR="000B0E2B" w:rsidRPr="0046677E" w:rsidRDefault="00264ADC" w:rsidP="007707A1">
      <w:pPr>
        <w:tabs>
          <w:tab w:val="left" w:pos="0"/>
        </w:tabs>
      </w:pPr>
      <w:r w:rsidRPr="0046677E">
        <w:rPr>
          <w:b/>
        </w:rPr>
        <w:t>EPA</w:t>
      </w:r>
      <w:r w:rsidRPr="0046677E">
        <w:t xml:space="preserve"> -- U.S. Environmental Protection Agency</w:t>
      </w:r>
    </w:p>
    <w:p w14:paraId="4FC7F758" w14:textId="77777777" w:rsidR="000B0E2B" w:rsidRPr="0046677E" w:rsidRDefault="00264ADC" w:rsidP="007707A1">
      <w:r w:rsidRPr="0046677E">
        <w:rPr>
          <w:b/>
        </w:rPr>
        <w:t>FAQ</w:t>
      </w:r>
      <w:r w:rsidRPr="0046677E">
        <w:t xml:space="preserve"> -- Frequently Asked Question</w:t>
      </w:r>
    </w:p>
    <w:p w14:paraId="4568CA0E" w14:textId="77777777" w:rsidR="000B0E2B" w:rsidRPr="0046677E" w:rsidRDefault="00264ADC" w:rsidP="007707A1">
      <w:pPr>
        <w:rPr>
          <w:bCs/>
        </w:rPr>
      </w:pPr>
      <w:r w:rsidRPr="0046677E">
        <w:rPr>
          <w:b/>
          <w:bCs/>
        </w:rPr>
        <w:t>FCM</w:t>
      </w:r>
      <w:r w:rsidRPr="0046677E">
        <w:rPr>
          <w:bCs/>
        </w:rPr>
        <w:t xml:space="preserve"> -- Food Contact Material</w:t>
      </w:r>
    </w:p>
    <w:p w14:paraId="601C41D1" w14:textId="77777777" w:rsidR="000B0E2B" w:rsidRPr="0046677E" w:rsidRDefault="00264ADC" w:rsidP="007707A1">
      <w:pPr>
        <w:rPr>
          <w:bCs/>
        </w:rPr>
      </w:pPr>
      <w:r w:rsidRPr="0046677E">
        <w:rPr>
          <w:b/>
          <w:bCs/>
        </w:rPr>
        <w:t>FDA</w:t>
      </w:r>
      <w:r w:rsidRPr="0046677E">
        <w:rPr>
          <w:bCs/>
        </w:rPr>
        <w:t xml:space="preserve"> -- Food and Drug Administration</w:t>
      </w:r>
    </w:p>
    <w:p w14:paraId="3715DAC0" w14:textId="77777777" w:rsidR="000B0E2B" w:rsidRPr="0046677E" w:rsidRDefault="00264ADC" w:rsidP="007707A1">
      <w:pPr>
        <w:tabs>
          <w:tab w:val="left" w:pos="720"/>
        </w:tabs>
      </w:pPr>
      <w:r w:rsidRPr="0046677E">
        <w:rPr>
          <w:b/>
        </w:rPr>
        <w:t>Forest Service</w:t>
      </w:r>
      <w:r w:rsidRPr="0046677E">
        <w:t xml:space="preserve"> -- U.S. Forest Service</w:t>
      </w:r>
    </w:p>
    <w:p w14:paraId="5C75B9D6" w14:textId="77777777" w:rsidR="000B0E2B" w:rsidRPr="0046677E" w:rsidRDefault="00264ADC" w:rsidP="007707A1">
      <w:pPr>
        <w:tabs>
          <w:tab w:val="left" w:pos="0"/>
        </w:tabs>
      </w:pPr>
      <w:r w:rsidRPr="0046677E">
        <w:rPr>
          <w:b/>
        </w:rPr>
        <w:t>ICdA</w:t>
      </w:r>
      <w:r w:rsidRPr="0046677E">
        <w:t xml:space="preserve"> -- International Cadmium Association</w:t>
      </w:r>
    </w:p>
    <w:p w14:paraId="2B672886" w14:textId="77777777" w:rsidR="000B0E2B" w:rsidRPr="0046677E" w:rsidRDefault="00264ADC" w:rsidP="007707A1">
      <w:pPr>
        <w:tabs>
          <w:tab w:val="left" w:pos="720"/>
        </w:tabs>
      </w:pPr>
      <w:r w:rsidRPr="0046677E">
        <w:rPr>
          <w:b/>
        </w:rPr>
        <w:t>ISO</w:t>
      </w:r>
      <w:r w:rsidRPr="0046677E">
        <w:t xml:space="preserve"> -- International Organization for Standardization</w:t>
      </w:r>
    </w:p>
    <w:p w14:paraId="2F8A7818" w14:textId="77777777" w:rsidR="000B0E2B" w:rsidRPr="0046677E" w:rsidRDefault="00264ADC" w:rsidP="007707A1">
      <w:pPr>
        <w:tabs>
          <w:tab w:val="left" w:pos="720"/>
        </w:tabs>
        <w:rPr>
          <w:rFonts w:eastAsia="Calibri"/>
          <w:szCs w:val="22"/>
        </w:rPr>
      </w:pPr>
      <w:r w:rsidRPr="0046677E">
        <w:rPr>
          <w:rFonts w:eastAsia="Calibri"/>
          <w:b/>
          <w:szCs w:val="22"/>
        </w:rPr>
        <w:t>Lautenberg Act</w:t>
      </w:r>
      <w:r w:rsidRPr="0046677E">
        <w:rPr>
          <w:rFonts w:eastAsia="Calibri"/>
          <w:szCs w:val="22"/>
        </w:rPr>
        <w:t xml:space="preserve"> -- Frank R. Lautenberg Chemical Safety for the 21st Century Act</w:t>
      </w:r>
    </w:p>
    <w:p w14:paraId="6E2DFB45" w14:textId="77777777" w:rsidR="000B0E2B" w:rsidRPr="0046677E" w:rsidRDefault="00264ADC" w:rsidP="007707A1">
      <w:pPr>
        <w:tabs>
          <w:tab w:val="left" w:pos="720"/>
        </w:tabs>
        <w:rPr>
          <w:rFonts w:eastAsia="Calibri"/>
          <w:szCs w:val="22"/>
        </w:rPr>
      </w:pPr>
      <w:r w:rsidRPr="0046677E">
        <w:rPr>
          <w:rFonts w:eastAsia="Calibri"/>
          <w:b/>
          <w:szCs w:val="22"/>
        </w:rPr>
        <w:t>MAC</w:t>
      </w:r>
      <w:r w:rsidRPr="0046677E">
        <w:rPr>
          <w:rFonts w:eastAsia="Calibri"/>
          <w:szCs w:val="22"/>
        </w:rPr>
        <w:t xml:space="preserve"> -- Mining Association of Canada</w:t>
      </w:r>
    </w:p>
    <w:p w14:paraId="750D7C00" w14:textId="77777777" w:rsidR="000B0E2B" w:rsidRPr="0046677E" w:rsidRDefault="00264ADC" w:rsidP="007707A1">
      <w:pPr>
        <w:tabs>
          <w:tab w:val="left" w:pos="720"/>
        </w:tabs>
        <w:rPr>
          <w:rFonts w:eastAsia="Calibri"/>
          <w:szCs w:val="22"/>
        </w:rPr>
      </w:pPr>
      <w:r w:rsidRPr="0046677E">
        <w:rPr>
          <w:rFonts w:eastAsia="Calibri"/>
          <w:b/>
          <w:szCs w:val="22"/>
        </w:rPr>
        <w:t>MDC</w:t>
      </w:r>
      <w:r w:rsidRPr="0046677E">
        <w:rPr>
          <w:rFonts w:eastAsia="Calibri"/>
          <w:szCs w:val="22"/>
        </w:rPr>
        <w:t xml:space="preserve"> -- Minnesota Department of Commerce</w:t>
      </w:r>
    </w:p>
    <w:p w14:paraId="215B089C" w14:textId="77777777" w:rsidR="000B0E2B" w:rsidRPr="0046677E" w:rsidRDefault="00264ADC" w:rsidP="007707A1">
      <w:pPr>
        <w:tabs>
          <w:tab w:val="left" w:pos="720"/>
        </w:tabs>
        <w:rPr>
          <w:rFonts w:eastAsia="Calibri"/>
          <w:szCs w:val="22"/>
        </w:rPr>
      </w:pPr>
      <w:r w:rsidRPr="0046677E">
        <w:rPr>
          <w:rFonts w:eastAsia="Calibri"/>
          <w:b/>
          <w:szCs w:val="22"/>
        </w:rPr>
        <w:t>MDH</w:t>
      </w:r>
      <w:r w:rsidRPr="0046677E">
        <w:rPr>
          <w:rFonts w:eastAsia="Calibri"/>
          <w:szCs w:val="22"/>
        </w:rPr>
        <w:t xml:space="preserve"> -- Minnesota Department of Health</w:t>
      </w:r>
    </w:p>
    <w:p w14:paraId="3C65FED8" w14:textId="77777777" w:rsidR="000B0E2B" w:rsidRPr="0046677E" w:rsidRDefault="00264ADC" w:rsidP="007707A1">
      <w:pPr>
        <w:tabs>
          <w:tab w:val="left" w:pos="720"/>
        </w:tabs>
        <w:rPr>
          <w:rFonts w:eastAsia="Calibri"/>
          <w:szCs w:val="22"/>
        </w:rPr>
      </w:pPr>
      <w:r w:rsidRPr="0046677E">
        <w:rPr>
          <w:rFonts w:eastAsia="Calibri"/>
          <w:b/>
          <w:szCs w:val="22"/>
        </w:rPr>
        <w:t>mg/L</w:t>
      </w:r>
      <w:r w:rsidRPr="0046677E">
        <w:rPr>
          <w:rFonts w:eastAsia="Calibri"/>
          <w:szCs w:val="22"/>
        </w:rPr>
        <w:t xml:space="preserve"> -- Milligram per Liter</w:t>
      </w:r>
    </w:p>
    <w:p w14:paraId="2FEE8AD2" w14:textId="77777777" w:rsidR="000B0E2B" w:rsidRPr="004305F2" w:rsidRDefault="00264ADC" w:rsidP="007707A1">
      <w:pPr>
        <w:tabs>
          <w:tab w:val="left" w:pos="720"/>
        </w:tabs>
        <w:rPr>
          <w:rFonts w:eastAsia="Calibri"/>
          <w:szCs w:val="22"/>
          <w:lang w:val="nl-BE"/>
        </w:rPr>
      </w:pPr>
      <w:r w:rsidRPr="004305F2">
        <w:rPr>
          <w:rFonts w:eastAsia="Calibri"/>
          <w:b/>
          <w:szCs w:val="22"/>
          <w:lang w:val="nl-BE"/>
        </w:rPr>
        <w:t>mg/m</w:t>
      </w:r>
      <w:r w:rsidRPr="004305F2">
        <w:rPr>
          <w:rFonts w:eastAsia="Calibri"/>
          <w:b/>
          <w:szCs w:val="22"/>
          <w:vertAlign w:val="superscript"/>
          <w:lang w:val="nl-BE"/>
        </w:rPr>
        <w:t>3</w:t>
      </w:r>
      <w:r w:rsidRPr="004305F2">
        <w:rPr>
          <w:rFonts w:eastAsia="Calibri"/>
          <w:szCs w:val="22"/>
          <w:lang w:val="nl-BE"/>
        </w:rPr>
        <w:t xml:space="preserve"> -- Milligram per Cubic Meter</w:t>
      </w:r>
    </w:p>
    <w:p w14:paraId="6D5078C5" w14:textId="77777777" w:rsidR="000B0E2B" w:rsidRPr="0046677E" w:rsidRDefault="00264ADC" w:rsidP="007707A1">
      <w:pPr>
        <w:tabs>
          <w:tab w:val="left" w:pos="720"/>
        </w:tabs>
        <w:rPr>
          <w:rFonts w:eastAsia="Calibri"/>
          <w:szCs w:val="22"/>
        </w:rPr>
      </w:pPr>
      <w:r w:rsidRPr="0046677E">
        <w:rPr>
          <w:rFonts w:eastAsia="Calibri"/>
          <w:b/>
          <w:szCs w:val="22"/>
        </w:rPr>
        <w:t>MOH</w:t>
      </w:r>
      <w:r w:rsidRPr="0046677E">
        <w:rPr>
          <w:rFonts w:eastAsia="Calibri"/>
          <w:szCs w:val="22"/>
        </w:rPr>
        <w:t xml:space="preserve"> -- Ministry of Health</w:t>
      </w:r>
    </w:p>
    <w:p w14:paraId="43361FA4" w14:textId="77777777" w:rsidR="000B0E2B" w:rsidRPr="0046677E" w:rsidRDefault="00264ADC" w:rsidP="007707A1">
      <w:pPr>
        <w:tabs>
          <w:tab w:val="left" w:pos="720"/>
        </w:tabs>
        <w:rPr>
          <w:rFonts w:eastAsia="Calibri"/>
          <w:szCs w:val="22"/>
        </w:rPr>
      </w:pPr>
      <w:r w:rsidRPr="0046677E">
        <w:rPr>
          <w:rFonts w:eastAsia="Calibri"/>
          <w:b/>
          <w:szCs w:val="22"/>
        </w:rPr>
        <w:t>MPCA</w:t>
      </w:r>
      <w:r w:rsidRPr="0046677E">
        <w:rPr>
          <w:rFonts w:eastAsia="Calibri"/>
          <w:szCs w:val="22"/>
        </w:rPr>
        <w:t xml:space="preserve"> -- Minnesota Pollution Control Agency</w:t>
      </w:r>
    </w:p>
    <w:p w14:paraId="0E68BD02" w14:textId="77777777" w:rsidR="000B0E2B" w:rsidRPr="0046677E" w:rsidRDefault="00264ADC" w:rsidP="007707A1">
      <w:pPr>
        <w:tabs>
          <w:tab w:val="left" w:pos="0"/>
        </w:tabs>
      </w:pPr>
      <w:r w:rsidRPr="0046677E">
        <w:rPr>
          <w:b/>
        </w:rPr>
        <w:t>NGO</w:t>
      </w:r>
      <w:r w:rsidRPr="0046677E">
        <w:t xml:space="preserve"> -- Non-Governmental Organization</w:t>
      </w:r>
    </w:p>
    <w:p w14:paraId="6327B4D0" w14:textId="77777777" w:rsidR="000B0E2B" w:rsidRPr="0046677E" w:rsidRDefault="00264ADC" w:rsidP="007707A1">
      <w:pPr>
        <w:tabs>
          <w:tab w:val="left" w:pos="0"/>
        </w:tabs>
      </w:pPr>
      <w:r w:rsidRPr="0046677E">
        <w:rPr>
          <w:b/>
        </w:rPr>
        <w:t>NICNAS</w:t>
      </w:r>
      <w:r w:rsidRPr="0046677E">
        <w:t xml:space="preserve"> -- National Industrial Chemicals Notification and Assessment Scheme</w:t>
      </w:r>
    </w:p>
    <w:p w14:paraId="05508D85" w14:textId="77777777" w:rsidR="000B0E2B" w:rsidRPr="0046677E" w:rsidRDefault="00264ADC" w:rsidP="007707A1">
      <w:pPr>
        <w:tabs>
          <w:tab w:val="left" w:pos="720"/>
        </w:tabs>
      </w:pPr>
      <w:r w:rsidRPr="0046677E">
        <w:rPr>
          <w:b/>
        </w:rPr>
        <w:t>NYSDEC</w:t>
      </w:r>
      <w:r w:rsidRPr="0046677E">
        <w:t xml:space="preserve"> -- New York State Department of Environmental Conservation</w:t>
      </w:r>
    </w:p>
    <w:p w14:paraId="7E51E7C0" w14:textId="77777777" w:rsidR="000B0E2B" w:rsidRPr="0046677E" w:rsidRDefault="00264ADC" w:rsidP="007707A1">
      <w:pPr>
        <w:tabs>
          <w:tab w:val="left" w:pos="0"/>
        </w:tabs>
      </w:pPr>
      <w:r w:rsidRPr="0046677E">
        <w:rPr>
          <w:b/>
        </w:rPr>
        <w:t>OECD</w:t>
      </w:r>
      <w:r w:rsidRPr="0046677E">
        <w:t xml:space="preserve"> -- Organization for Economic Cooperation and Development</w:t>
      </w:r>
    </w:p>
    <w:p w14:paraId="2734B90C" w14:textId="77777777" w:rsidR="000B0E2B" w:rsidRPr="0046677E" w:rsidRDefault="00264ADC" w:rsidP="007707A1">
      <w:pPr>
        <w:tabs>
          <w:tab w:val="left" w:pos="720"/>
        </w:tabs>
        <w:rPr>
          <w:rFonts w:eastAsia="Calibri"/>
          <w:szCs w:val="22"/>
        </w:rPr>
      </w:pPr>
      <w:r w:rsidRPr="0046677E">
        <w:rPr>
          <w:rFonts w:eastAsia="Calibri"/>
          <w:b/>
          <w:szCs w:val="22"/>
        </w:rPr>
        <w:t>POP</w:t>
      </w:r>
      <w:r w:rsidRPr="0046677E">
        <w:rPr>
          <w:rFonts w:eastAsia="Calibri"/>
          <w:szCs w:val="22"/>
        </w:rPr>
        <w:t xml:space="preserve"> -- </w:t>
      </w:r>
      <w:r w:rsidRPr="0046677E">
        <w:t>Persistent Organic Pollutant</w:t>
      </w:r>
    </w:p>
    <w:p w14:paraId="2CABC46C" w14:textId="77777777" w:rsidR="000B0E2B" w:rsidRPr="0046677E" w:rsidRDefault="00264ADC" w:rsidP="007707A1">
      <w:pPr>
        <w:tabs>
          <w:tab w:val="left" w:pos="720"/>
        </w:tabs>
        <w:rPr>
          <w:rFonts w:eastAsia="Calibri"/>
          <w:szCs w:val="22"/>
        </w:rPr>
      </w:pPr>
      <w:r w:rsidRPr="0046677E">
        <w:rPr>
          <w:rFonts w:eastAsia="Calibri"/>
          <w:b/>
          <w:szCs w:val="22"/>
        </w:rPr>
        <w:t>ppb</w:t>
      </w:r>
      <w:r w:rsidR="00CD3E97" w:rsidRPr="0046677E">
        <w:rPr>
          <w:rFonts w:eastAsia="Calibri"/>
          <w:szCs w:val="22"/>
        </w:rPr>
        <w:t xml:space="preserve"> -- Part per Billion</w:t>
      </w:r>
    </w:p>
    <w:p w14:paraId="549B2C83" w14:textId="77777777" w:rsidR="000B0E2B" w:rsidRPr="0046677E" w:rsidRDefault="00264ADC" w:rsidP="007707A1">
      <w:pPr>
        <w:tabs>
          <w:tab w:val="left" w:pos="720"/>
        </w:tabs>
        <w:rPr>
          <w:rFonts w:eastAsia="Calibri"/>
          <w:szCs w:val="22"/>
        </w:rPr>
      </w:pPr>
      <w:r w:rsidRPr="0046677E">
        <w:rPr>
          <w:rFonts w:eastAsia="Calibri"/>
          <w:b/>
          <w:szCs w:val="22"/>
        </w:rPr>
        <w:t>ppm</w:t>
      </w:r>
      <w:r w:rsidRPr="0046677E">
        <w:rPr>
          <w:rFonts w:eastAsia="Calibri"/>
          <w:szCs w:val="22"/>
        </w:rPr>
        <w:t xml:space="preserve"> -- Part per Million</w:t>
      </w:r>
    </w:p>
    <w:p w14:paraId="60079027" w14:textId="77777777" w:rsidR="000B0E2B" w:rsidRPr="0046677E" w:rsidRDefault="00264ADC" w:rsidP="007707A1">
      <w:pPr>
        <w:tabs>
          <w:tab w:val="left" w:pos="0"/>
        </w:tabs>
      </w:pPr>
      <w:r w:rsidRPr="0046677E">
        <w:rPr>
          <w:b/>
        </w:rPr>
        <w:t>RSL</w:t>
      </w:r>
      <w:r w:rsidR="00CD3E97" w:rsidRPr="0046677E">
        <w:t xml:space="preserve"> -- Restricted Substances List</w:t>
      </w:r>
    </w:p>
    <w:p w14:paraId="1D321DF5" w14:textId="77777777" w:rsidR="000B0E2B" w:rsidRPr="0046677E" w:rsidRDefault="00264ADC" w:rsidP="007707A1">
      <w:pPr>
        <w:tabs>
          <w:tab w:val="left" w:pos="0"/>
        </w:tabs>
      </w:pPr>
      <w:r w:rsidRPr="0046677E">
        <w:rPr>
          <w:b/>
        </w:rPr>
        <w:t>SWA</w:t>
      </w:r>
      <w:r w:rsidRPr="0046677E">
        <w:t xml:space="preserve"> -- Safe Work Australia</w:t>
      </w:r>
    </w:p>
    <w:p w14:paraId="26B40829" w14:textId="77777777" w:rsidR="000B0E2B" w:rsidRPr="0046677E" w:rsidRDefault="00264ADC" w:rsidP="007707A1">
      <w:pPr>
        <w:tabs>
          <w:tab w:val="left" w:pos="720"/>
        </w:tabs>
      </w:pPr>
      <w:r w:rsidRPr="0046677E">
        <w:rPr>
          <w:b/>
        </w:rPr>
        <w:t>TSCA</w:t>
      </w:r>
      <w:r w:rsidRPr="0046677E">
        <w:t xml:space="preserve"> -- Toxic Substances Control Act</w:t>
      </w:r>
    </w:p>
    <w:p w14:paraId="63A9E3A9" w14:textId="77777777" w:rsidR="000B0E2B" w:rsidRPr="0046677E" w:rsidRDefault="00264ADC" w:rsidP="007707A1">
      <w:r w:rsidRPr="0046677E">
        <w:rPr>
          <w:b/>
        </w:rPr>
        <w:t>TWA</w:t>
      </w:r>
      <w:r w:rsidRPr="0046677E">
        <w:t xml:space="preserve"> -- Time-Weighted Average</w:t>
      </w:r>
    </w:p>
    <w:p w14:paraId="078FB146" w14:textId="77777777" w:rsidR="000B0E2B" w:rsidRPr="0046677E" w:rsidRDefault="00264ADC" w:rsidP="007707A1">
      <w:pPr>
        <w:tabs>
          <w:tab w:val="left" w:pos="900"/>
        </w:tabs>
      </w:pPr>
      <w:r w:rsidRPr="0046677E">
        <w:rPr>
          <w:b/>
        </w:rPr>
        <w:t>USDA</w:t>
      </w:r>
      <w:r w:rsidRPr="0046677E">
        <w:t xml:space="preserve"> -- United States Department of Agriculture</w:t>
      </w:r>
    </w:p>
    <w:p w14:paraId="2E908CF8" w14:textId="77777777" w:rsidR="000B0E2B" w:rsidRPr="00CD3E97" w:rsidRDefault="00264ADC" w:rsidP="007707A1">
      <w:pPr>
        <w:tabs>
          <w:tab w:val="left" w:pos="900"/>
        </w:tabs>
      </w:pPr>
      <w:r w:rsidRPr="0046677E">
        <w:rPr>
          <w:b/>
        </w:rPr>
        <w:t>WTO</w:t>
      </w:r>
      <w:r w:rsidR="00CD3E97" w:rsidRPr="0046677E">
        <w:t xml:space="preserve"> -- World Trade Organization</w:t>
      </w:r>
    </w:p>
    <w:sectPr w:rsidR="000B0E2B" w:rsidRPr="00CD3E97">
      <w:headerReference w:type="even" r:id="rId37"/>
      <w:headerReference w:type="default" r:id="rId38"/>
      <w:footerReference w:type="even" r:id="rId39"/>
      <w:footerReference w:type="default" r:id="rId40"/>
      <w:headerReference w:type="first" r:id="rId41"/>
      <w:footerReference w:type="first" r:id="rId42"/>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3C9FA" w14:textId="77777777" w:rsidR="002A758C" w:rsidRDefault="002A758C">
      <w:r>
        <w:separator/>
      </w:r>
    </w:p>
  </w:endnote>
  <w:endnote w:type="continuationSeparator" w:id="0">
    <w:p w14:paraId="21282C59" w14:textId="77777777" w:rsidR="002A758C" w:rsidRDefault="002A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57DAB" w14:textId="77777777" w:rsidR="007707A1" w:rsidRDefault="007707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287F0" w14:textId="77777777" w:rsidR="000B0E2B" w:rsidRDefault="00740886">
    <w:pPr>
      <w:pStyle w:val="Footer"/>
      <w:jc w:val="left"/>
      <w:rPr>
        <w:noProof/>
      </w:rPr>
    </w:pPr>
    <w:r>
      <w:rPr>
        <w:noProof/>
      </w:rPr>
      <w:t>{01002.001 / 111 / 00303517.DOCX}</w:t>
    </w:r>
  </w:p>
  <w:p w14:paraId="0C45B6CA" w14:textId="77777777" w:rsidR="000B0E2B" w:rsidRDefault="000B0E2B">
    <w:pPr>
      <w:pStyle w:val="Footer"/>
      <w:rPr>
        <w:noProof/>
      </w:rPr>
    </w:pPr>
  </w:p>
  <w:p w14:paraId="69822A7D" w14:textId="77777777" w:rsidR="000B0E2B" w:rsidRDefault="00264ADC">
    <w:pPr>
      <w:pStyle w:val="Footer"/>
      <w:jc w:val="right"/>
      <w:rPr>
        <w:noProof/>
      </w:rPr>
    </w:pPr>
    <w:r>
      <w:rPr>
        <w:noProof/>
      </w:rPr>
      <w:drawing>
        <wp:inline distT="0" distB="0" distL="0" distR="0" wp14:anchorId="28268575" wp14:editId="68DAA8B3">
          <wp:extent cx="762000" cy="114300"/>
          <wp:effectExtent l="0" t="0" r="0" b="0"/>
          <wp:docPr id="30" name="Picture 30" descr="BCs2ndsheetbo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s2ndsheetbo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143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D8BB7" w14:textId="77777777" w:rsidR="000B0E2B" w:rsidRDefault="00740886">
    <w:pPr>
      <w:pStyle w:val="Footer"/>
      <w:jc w:val="left"/>
      <w:rPr>
        <w:noProof/>
      </w:rPr>
    </w:pPr>
    <w:r>
      <w:rPr>
        <w:noProof/>
      </w:rPr>
      <w:t>{01002.001 / 111 / 00303517.DOCX}</w:t>
    </w:r>
  </w:p>
  <w:p w14:paraId="1EF5A28E" w14:textId="77777777" w:rsidR="000B0E2B" w:rsidRDefault="000B0E2B">
    <w:pPr>
      <w:pStyle w:val="Footer"/>
      <w:rPr>
        <w:noProof/>
      </w:rPr>
    </w:pPr>
  </w:p>
  <w:p w14:paraId="5069E878" w14:textId="77777777" w:rsidR="000B0E2B" w:rsidRDefault="00264ADC">
    <w:pPr>
      <w:pStyle w:val="Footer"/>
      <w:rPr>
        <w:noProof/>
      </w:rPr>
    </w:pPr>
    <w:r>
      <w:rPr>
        <w:noProof/>
      </w:rPr>
      <w:drawing>
        <wp:inline distT="0" distB="0" distL="0" distR="0" wp14:anchorId="5BC2FF86" wp14:editId="62D1AB4B">
          <wp:extent cx="5953125" cy="295275"/>
          <wp:effectExtent l="0" t="0" r="0" b="0"/>
          <wp:docPr id="32" name="Picture 32" descr="lbergesonltthrheadbot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ergesonltthrheadbot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4D77C" w14:textId="77777777" w:rsidR="002A758C" w:rsidRDefault="002A758C">
      <w:pPr>
        <w:rPr>
          <w:noProof/>
        </w:rPr>
      </w:pPr>
      <w:r>
        <w:rPr>
          <w:noProof/>
        </w:rPr>
        <w:separator/>
      </w:r>
    </w:p>
  </w:footnote>
  <w:footnote w:type="continuationSeparator" w:id="0">
    <w:p w14:paraId="3A46EF2B" w14:textId="77777777" w:rsidR="002A758C" w:rsidRDefault="002A758C">
      <w:r>
        <w:continuationSeparator/>
      </w:r>
    </w:p>
  </w:footnote>
  <w:footnote w:id="1">
    <w:p w14:paraId="20A54081" w14:textId="77777777" w:rsidR="000B0E2B" w:rsidRDefault="00264ADC">
      <w:pPr>
        <w:tabs>
          <w:tab w:val="left" w:pos="720"/>
        </w:tabs>
        <w:spacing w:after="240"/>
        <w:ind w:left="720" w:hanging="720"/>
      </w:pPr>
      <w:r>
        <w:rPr>
          <w:rStyle w:val="FootnoteReference"/>
          <w:vertAlign w:val="superscript"/>
        </w:rPr>
        <w:footnoteRef/>
      </w:r>
      <w:r>
        <w:tab/>
        <w:t>This Update addresses significant federal, state, and international environmental and occupational safety and health regulatory issues and ongoing advocacy efforts pertinent to the ICdA member companies.  A list of acronyms used in this Update is provided.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EEB06" w14:textId="77777777" w:rsidR="007707A1" w:rsidRDefault="007707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DE528" w14:textId="77777777" w:rsidR="000B0E2B" w:rsidRDefault="00264ADC">
    <w:pPr>
      <w:pStyle w:val="Header"/>
      <w:jc w:val="right"/>
    </w:pPr>
    <w:r>
      <w:rPr>
        <w:noProof/>
      </w:rPr>
      <w:drawing>
        <wp:inline distT="0" distB="0" distL="0" distR="0" wp14:anchorId="4918096E" wp14:editId="3A2E9568">
          <wp:extent cx="619125" cy="438150"/>
          <wp:effectExtent l="0" t="0" r="0" b="0"/>
          <wp:docPr id="29" name="Picture 29" descr="bC2ndsheet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2ndsheet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438150"/>
                  </a:xfrm>
                  <a:prstGeom prst="rect">
                    <a:avLst/>
                  </a:prstGeom>
                  <a:noFill/>
                  <a:ln>
                    <a:noFill/>
                  </a:ln>
                </pic:spPr>
              </pic:pic>
            </a:graphicData>
          </a:graphic>
        </wp:inline>
      </w:drawing>
    </w:r>
  </w:p>
  <w:p w14:paraId="438CFCC8" w14:textId="77777777" w:rsidR="000B0E2B" w:rsidRDefault="000B0E2B">
    <w:pPr>
      <w:pStyle w:val="Header"/>
    </w:pPr>
  </w:p>
  <w:p w14:paraId="12CA68EA" w14:textId="77777777" w:rsidR="000B0E2B" w:rsidRDefault="00264ADC">
    <w:pPr>
      <w:pStyle w:val="Header"/>
      <w:rPr>
        <w:rStyle w:val="PageNumber"/>
        <w:u w:val="single"/>
      </w:rPr>
    </w:pPr>
    <w:r>
      <w:rPr>
        <w:u w:val="single"/>
      </w:rPr>
      <w:t xml:space="preserve">The International Cadmium Association -- </w:t>
    </w:r>
    <w:r w:rsidRPr="0046677E">
      <w:rPr>
        <w:u w:val="single"/>
      </w:rPr>
      <w:t>May 28, 2020</w:t>
    </w:r>
    <w:r>
      <w:rPr>
        <w:u w:val="single"/>
      </w:rPr>
      <w:t xml:space="preserve">, Issue 58, p. </w:t>
    </w: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noProof/>
        <w:u w:val="single"/>
      </w:rPr>
      <w:t>3</w:t>
    </w:r>
    <w:r>
      <w:rPr>
        <w:rStyle w:val="PageNumber"/>
        <w:u w:val="single"/>
      </w:rPr>
      <w:fldChar w:fldCharType="end"/>
    </w:r>
  </w:p>
  <w:p w14:paraId="7A278DD4" w14:textId="77777777" w:rsidR="000B0E2B" w:rsidRDefault="000B0E2B">
    <w:pPr>
      <w:pStyle w:val="Header"/>
      <w:rPr>
        <w:rStyle w:val="PageNumber"/>
      </w:rPr>
    </w:pPr>
  </w:p>
  <w:p w14:paraId="5A790064" w14:textId="77777777" w:rsidR="000B0E2B" w:rsidRDefault="000B0E2B">
    <w:pPr>
      <w:pStyle w:val="Header"/>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D4AF6" w14:textId="77777777" w:rsidR="000B0E2B" w:rsidRDefault="00264ADC">
    <w:pPr>
      <w:pStyle w:val="Header"/>
      <w:jc w:val="right"/>
    </w:pPr>
    <w:r>
      <w:rPr>
        <w:noProof/>
      </w:rPr>
      <w:drawing>
        <wp:inline distT="0" distB="0" distL="0" distR="0" wp14:anchorId="2786DB02" wp14:editId="7B8C987D">
          <wp:extent cx="3448050" cy="428625"/>
          <wp:effectExtent l="0" t="0" r="0" b="0"/>
          <wp:docPr id="31" name="Picture 31" descr="lbergesonletterhead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ergesonletterhead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428625"/>
                  </a:xfrm>
                  <a:prstGeom prst="rect">
                    <a:avLst/>
                  </a:prstGeom>
                  <a:noFill/>
                  <a:ln>
                    <a:noFill/>
                  </a:ln>
                </pic:spPr>
              </pic:pic>
            </a:graphicData>
          </a:graphic>
        </wp:inline>
      </w:drawing>
    </w:r>
  </w:p>
  <w:p w14:paraId="0F01A306" w14:textId="77777777" w:rsidR="000B0E2B" w:rsidRDefault="000B0E2B">
    <w:pPr>
      <w:pStyle w:val="Header"/>
    </w:pPr>
  </w:p>
  <w:p w14:paraId="4CD7E722" w14:textId="77777777" w:rsidR="000B0E2B" w:rsidRDefault="000B0E2B">
    <w:pPr>
      <w:pStyle w:val="Header"/>
    </w:pPr>
  </w:p>
  <w:p w14:paraId="11CAE7E9" w14:textId="77777777" w:rsidR="000B0E2B" w:rsidRDefault="000B0E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C63AC"/>
    <w:multiLevelType w:val="hybridMultilevel"/>
    <w:tmpl w:val="0E4A6F3E"/>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77EA9"/>
    <w:multiLevelType w:val="hybridMultilevel"/>
    <w:tmpl w:val="C1046226"/>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36646"/>
    <w:multiLevelType w:val="hybridMultilevel"/>
    <w:tmpl w:val="CCB0F7B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96606"/>
    <w:multiLevelType w:val="hybridMultilevel"/>
    <w:tmpl w:val="731440E8"/>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725F5"/>
    <w:multiLevelType w:val="hybridMultilevel"/>
    <w:tmpl w:val="CB8091FA"/>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00B77"/>
    <w:multiLevelType w:val="hybridMultilevel"/>
    <w:tmpl w:val="F62ED644"/>
    <w:lvl w:ilvl="0" w:tplc="D568A2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1965FC"/>
    <w:multiLevelType w:val="hybridMultilevel"/>
    <w:tmpl w:val="4056B52C"/>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EB83023"/>
    <w:multiLevelType w:val="hybridMultilevel"/>
    <w:tmpl w:val="DCB6D34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F0F0C"/>
    <w:multiLevelType w:val="hybridMultilevel"/>
    <w:tmpl w:val="D05021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92314"/>
    <w:multiLevelType w:val="hybridMultilevel"/>
    <w:tmpl w:val="C2384F5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A19C9"/>
    <w:multiLevelType w:val="hybridMultilevel"/>
    <w:tmpl w:val="82E87D64"/>
    <w:lvl w:ilvl="0" w:tplc="D568A2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9C7AE7"/>
    <w:multiLevelType w:val="hybridMultilevel"/>
    <w:tmpl w:val="980444FE"/>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43299E"/>
    <w:multiLevelType w:val="hybridMultilevel"/>
    <w:tmpl w:val="9E5CA34E"/>
    <w:lvl w:ilvl="0" w:tplc="D568A21C">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BC77877"/>
    <w:multiLevelType w:val="hybridMultilevel"/>
    <w:tmpl w:val="8BEE9ACE"/>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984746"/>
    <w:multiLevelType w:val="hybridMultilevel"/>
    <w:tmpl w:val="23E6B54A"/>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1370D"/>
    <w:multiLevelType w:val="hybridMultilevel"/>
    <w:tmpl w:val="7978940C"/>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66494"/>
    <w:multiLevelType w:val="hybridMultilevel"/>
    <w:tmpl w:val="F5B0EEDC"/>
    <w:lvl w:ilvl="0" w:tplc="D568A21C">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8F1620"/>
    <w:multiLevelType w:val="hybridMultilevel"/>
    <w:tmpl w:val="045804A8"/>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1266EC"/>
    <w:multiLevelType w:val="hybridMultilevel"/>
    <w:tmpl w:val="870C4C22"/>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604697"/>
    <w:multiLevelType w:val="hybridMultilevel"/>
    <w:tmpl w:val="9208B31A"/>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A503FF"/>
    <w:multiLevelType w:val="hybridMultilevel"/>
    <w:tmpl w:val="D730CEA2"/>
    <w:lvl w:ilvl="0" w:tplc="D568A2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6D1B75"/>
    <w:multiLevelType w:val="hybridMultilevel"/>
    <w:tmpl w:val="2EF01A3E"/>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41B48"/>
    <w:multiLevelType w:val="hybridMultilevel"/>
    <w:tmpl w:val="9A4E1DEA"/>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994030"/>
    <w:multiLevelType w:val="hybridMultilevel"/>
    <w:tmpl w:val="750849FA"/>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0E12EA"/>
    <w:multiLevelType w:val="hybridMultilevel"/>
    <w:tmpl w:val="77AC6CA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91686C"/>
    <w:multiLevelType w:val="multilevel"/>
    <w:tmpl w:val="A4827A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771680"/>
    <w:multiLevelType w:val="hybridMultilevel"/>
    <w:tmpl w:val="E4FEA1CA"/>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481DE7"/>
    <w:multiLevelType w:val="hybridMultilevel"/>
    <w:tmpl w:val="F382571C"/>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FE012CA"/>
    <w:multiLevelType w:val="hybridMultilevel"/>
    <w:tmpl w:val="255CC7DA"/>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24"/>
  </w:num>
  <w:num w:numId="4">
    <w:abstractNumId w:val="26"/>
  </w:num>
  <w:num w:numId="5">
    <w:abstractNumId w:val="21"/>
  </w:num>
  <w:num w:numId="6">
    <w:abstractNumId w:val="9"/>
  </w:num>
  <w:num w:numId="7">
    <w:abstractNumId w:val="17"/>
  </w:num>
  <w:num w:numId="8">
    <w:abstractNumId w:val="25"/>
  </w:num>
  <w:num w:numId="9">
    <w:abstractNumId w:val="20"/>
  </w:num>
  <w:num w:numId="10">
    <w:abstractNumId w:val="16"/>
  </w:num>
  <w:num w:numId="11">
    <w:abstractNumId w:val="27"/>
  </w:num>
  <w:num w:numId="12">
    <w:abstractNumId w:val="8"/>
  </w:num>
  <w:num w:numId="13">
    <w:abstractNumId w:val="4"/>
  </w:num>
  <w:num w:numId="14">
    <w:abstractNumId w:val="23"/>
  </w:num>
  <w:num w:numId="15">
    <w:abstractNumId w:val="11"/>
  </w:num>
  <w:num w:numId="16">
    <w:abstractNumId w:val="15"/>
  </w:num>
  <w:num w:numId="17">
    <w:abstractNumId w:val="7"/>
  </w:num>
  <w:num w:numId="18">
    <w:abstractNumId w:val="5"/>
  </w:num>
  <w:num w:numId="19">
    <w:abstractNumId w:val="2"/>
  </w:num>
  <w:num w:numId="20">
    <w:abstractNumId w:val="14"/>
  </w:num>
  <w:num w:numId="21">
    <w:abstractNumId w:val="12"/>
  </w:num>
  <w:num w:numId="22">
    <w:abstractNumId w:val="6"/>
  </w:num>
  <w:num w:numId="23">
    <w:abstractNumId w:val="0"/>
  </w:num>
  <w:num w:numId="24">
    <w:abstractNumId w:val="3"/>
  </w:num>
  <w:num w:numId="25">
    <w:abstractNumId w:val="18"/>
  </w:num>
  <w:num w:numId="26">
    <w:abstractNumId w:val="13"/>
  </w:num>
  <w:num w:numId="27">
    <w:abstractNumId w:val="22"/>
  </w:num>
  <w:num w:numId="28">
    <w:abstractNumId w:val="19"/>
  </w:num>
  <w:num w:numId="2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E2B"/>
    <w:rsid w:val="00033050"/>
    <w:rsid w:val="000B0E2B"/>
    <w:rsid w:val="0010689F"/>
    <w:rsid w:val="0021651D"/>
    <w:rsid w:val="00220357"/>
    <w:rsid w:val="00264ADC"/>
    <w:rsid w:val="002A758C"/>
    <w:rsid w:val="003256E8"/>
    <w:rsid w:val="004305F2"/>
    <w:rsid w:val="0046677E"/>
    <w:rsid w:val="00534990"/>
    <w:rsid w:val="005724D3"/>
    <w:rsid w:val="00574DEA"/>
    <w:rsid w:val="00694B0B"/>
    <w:rsid w:val="00740886"/>
    <w:rsid w:val="007707A1"/>
    <w:rsid w:val="007D767E"/>
    <w:rsid w:val="0095343E"/>
    <w:rsid w:val="009F79EB"/>
    <w:rsid w:val="00AE59C5"/>
    <w:rsid w:val="00BA68D8"/>
    <w:rsid w:val="00BC1C49"/>
    <w:rsid w:val="00CA743A"/>
    <w:rsid w:val="00CD3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3A0636"/>
  <w15:docId w15:val="{CF863378-8F84-4C4C-A011-334960FD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uiPriority w:val="99"/>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uiPriority w:val="99"/>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paragraph" w:customStyle="1" w:styleId="CharCharCharCharCharChar1CharCharCharCharCharCharCharCharCharCharCharCharCharCharCharCharCharCharCharCharCharCharCharCharCharCharCharChar1">
    <w:name w:val="Char Char Char Char Char Char1 Char Char Char Char Char Char Char Char Char Char Char Char Char Char Char Char Char Char Char Char Char Char Char Char Char Char Char Char1"/>
    <w:basedOn w:val="Normal"/>
    <w:pPr>
      <w:widowControl/>
      <w:autoSpaceDE/>
      <w:autoSpaceDN/>
      <w:adjustRightInd/>
      <w:spacing w:after="160" w:line="240" w:lineRule="exact"/>
      <w:jc w:val="left"/>
    </w:pPr>
    <w:rPr>
      <w:rFonts w:ascii="Verdana" w:hAnsi="Verdana"/>
      <w:sz w:val="20"/>
      <w:szCs w:val="20"/>
    </w:rPr>
  </w:style>
  <w:style w:type="paragraph" w:styleId="Revision">
    <w:name w:val="Revision"/>
    <w:hidden/>
    <w:uiPriority w:val="99"/>
    <w:semiHidden/>
    <w:rPr>
      <w:sz w:val="24"/>
      <w:szCs w:val="24"/>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alignleft">
    <w:name w:val="alignleft"/>
    <w:basedOn w:val="Normal"/>
    <w:pPr>
      <w:widowControl/>
      <w:autoSpaceDE/>
      <w:autoSpaceDN/>
      <w:adjustRightInd/>
      <w:spacing w:before="100" w:beforeAutospacing="1" w:after="100" w:afterAutospacing="1"/>
      <w:jc w:val="left"/>
    </w:pPr>
  </w:style>
  <w:style w:type="paragraph" w:styleId="NoSpacing">
    <w:name w:val="No Spacing"/>
    <w:basedOn w:val="Normal"/>
    <w:uiPriority w:val="1"/>
    <w:qFormat/>
    <w:pPr>
      <w:widowControl/>
      <w:autoSpaceDE/>
      <w:autoSpaceDN/>
      <w:adjustRightInd/>
    </w:pPr>
    <w:rPr>
      <w:rFonts w:eastAsiaTheme="minorHAnsi"/>
    </w:rPr>
  </w:style>
  <w:style w:type="character" w:customStyle="1" w:styleId="apple-converted-space">
    <w:name w:val="apple-converted-space"/>
    <w:basedOn w:val="DefaultParagraphFont"/>
    <w:rPr>
      <w:rFonts w:ascii="Times New Roman" w:hAnsi="Times New Roman" w:cs="Times New Roman" w:hint="default"/>
    </w:rPr>
  </w:style>
  <w:style w:type="paragraph" w:customStyle="1" w:styleId="Pa24">
    <w:name w:val="Pa24"/>
    <w:basedOn w:val="Default"/>
    <w:next w:val="Default"/>
    <w:uiPriority w:val="99"/>
    <w:pPr>
      <w:spacing w:line="181" w:lineRule="atLeast"/>
    </w:pPr>
    <w:rPr>
      <w:rFonts w:ascii="Times New Roman" w:eastAsia="Calibri" w:hAnsi="Times New Roman" w:cs="Times New Roman"/>
      <w:color w:val="auto"/>
    </w:rPr>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 w:type="character" w:customStyle="1" w:styleId="st">
    <w:name w:val="s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99850">
      <w:bodyDiv w:val="1"/>
      <w:marLeft w:val="0"/>
      <w:marRight w:val="0"/>
      <w:marTop w:val="0"/>
      <w:marBottom w:val="0"/>
      <w:divBdr>
        <w:top w:val="none" w:sz="0" w:space="0" w:color="auto"/>
        <w:left w:val="none" w:sz="0" w:space="0" w:color="auto"/>
        <w:bottom w:val="none" w:sz="0" w:space="0" w:color="auto"/>
        <w:right w:val="none" w:sz="0" w:space="0" w:color="auto"/>
      </w:divBdr>
      <w:divsChild>
        <w:div w:id="1816027933">
          <w:marLeft w:val="0"/>
          <w:marRight w:val="0"/>
          <w:marTop w:val="0"/>
          <w:marBottom w:val="0"/>
          <w:divBdr>
            <w:top w:val="none" w:sz="0" w:space="0" w:color="auto"/>
            <w:left w:val="none" w:sz="0" w:space="0" w:color="auto"/>
            <w:bottom w:val="none" w:sz="0" w:space="0" w:color="auto"/>
            <w:right w:val="none" w:sz="0" w:space="0" w:color="auto"/>
          </w:divBdr>
        </w:div>
      </w:divsChild>
    </w:div>
    <w:div w:id="159782826">
      <w:bodyDiv w:val="1"/>
      <w:marLeft w:val="0"/>
      <w:marRight w:val="0"/>
      <w:marTop w:val="0"/>
      <w:marBottom w:val="0"/>
      <w:divBdr>
        <w:top w:val="none" w:sz="0" w:space="0" w:color="auto"/>
        <w:left w:val="none" w:sz="0" w:space="0" w:color="auto"/>
        <w:bottom w:val="none" w:sz="0" w:space="0" w:color="auto"/>
        <w:right w:val="none" w:sz="0" w:space="0" w:color="auto"/>
      </w:divBdr>
      <w:divsChild>
        <w:div w:id="1080643266">
          <w:marLeft w:val="0"/>
          <w:marRight w:val="0"/>
          <w:marTop w:val="0"/>
          <w:marBottom w:val="0"/>
          <w:divBdr>
            <w:top w:val="none" w:sz="0" w:space="0" w:color="auto"/>
            <w:left w:val="none" w:sz="0" w:space="0" w:color="auto"/>
            <w:bottom w:val="none" w:sz="0" w:space="0" w:color="auto"/>
            <w:right w:val="none" w:sz="0" w:space="0" w:color="auto"/>
          </w:divBdr>
          <w:divsChild>
            <w:div w:id="74979214">
              <w:marLeft w:val="0"/>
              <w:marRight w:val="0"/>
              <w:marTop w:val="0"/>
              <w:marBottom w:val="0"/>
              <w:divBdr>
                <w:top w:val="none" w:sz="0" w:space="0" w:color="auto"/>
                <w:left w:val="none" w:sz="0" w:space="0" w:color="auto"/>
                <w:bottom w:val="none" w:sz="0" w:space="0" w:color="auto"/>
                <w:right w:val="none" w:sz="0" w:space="0" w:color="auto"/>
              </w:divBdr>
              <w:divsChild>
                <w:div w:id="1522084834">
                  <w:marLeft w:val="0"/>
                  <w:marRight w:val="0"/>
                  <w:marTop w:val="0"/>
                  <w:marBottom w:val="0"/>
                  <w:divBdr>
                    <w:top w:val="none" w:sz="0" w:space="0" w:color="auto"/>
                    <w:left w:val="none" w:sz="0" w:space="0" w:color="auto"/>
                    <w:bottom w:val="none" w:sz="0" w:space="0" w:color="auto"/>
                    <w:right w:val="none" w:sz="0" w:space="0" w:color="auto"/>
                  </w:divBdr>
                  <w:divsChild>
                    <w:div w:id="1742945527">
                      <w:marLeft w:val="0"/>
                      <w:marRight w:val="0"/>
                      <w:marTop w:val="0"/>
                      <w:marBottom w:val="0"/>
                      <w:divBdr>
                        <w:top w:val="none" w:sz="0" w:space="0" w:color="auto"/>
                        <w:left w:val="none" w:sz="0" w:space="0" w:color="auto"/>
                        <w:bottom w:val="none" w:sz="0" w:space="0" w:color="auto"/>
                        <w:right w:val="none" w:sz="0" w:space="0" w:color="auto"/>
                      </w:divBdr>
                      <w:divsChild>
                        <w:div w:id="170828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554990">
      <w:bodyDiv w:val="1"/>
      <w:marLeft w:val="0"/>
      <w:marRight w:val="0"/>
      <w:marTop w:val="0"/>
      <w:marBottom w:val="0"/>
      <w:divBdr>
        <w:top w:val="none" w:sz="0" w:space="0" w:color="auto"/>
        <w:left w:val="none" w:sz="0" w:space="0" w:color="auto"/>
        <w:bottom w:val="none" w:sz="0" w:space="0" w:color="auto"/>
        <w:right w:val="none" w:sz="0" w:space="0" w:color="auto"/>
      </w:divBdr>
      <w:divsChild>
        <w:div w:id="1278414796">
          <w:marLeft w:val="0"/>
          <w:marRight w:val="0"/>
          <w:marTop w:val="0"/>
          <w:marBottom w:val="0"/>
          <w:divBdr>
            <w:top w:val="none" w:sz="0" w:space="0" w:color="auto"/>
            <w:left w:val="none" w:sz="0" w:space="0" w:color="auto"/>
            <w:bottom w:val="none" w:sz="0" w:space="0" w:color="auto"/>
            <w:right w:val="none" w:sz="0" w:space="0" w:color="auto"/>
          </w:divBdr>
          <w:divsChild>
            <w:div w:id="1852183031">
              <w:marLeft w:val="0"/>
              <w:marRight w:val="0"/>
              <w:marTop w:val="0"/>
              <w:marBottom w:val="0"/>
              <w:divBdr>
                <w:top w:val="none" w:sz="0" w:space="0" w:color="auto"/>
                <w:left w:val="none" w:sz="0" w:space="0" w:color="auto"/>
                <w:bottom w:val="none" w:sz="0" w:space="0" w:color="auto"/>
                <w:right w:val="none" w:sz="0" w:space="0" w:color="auto"/>
              </w:divBdr>
              <w:divsChild>
                <w:div w:id="1275753266">
                  <w:marLeft w:val="0"/>
                  <w:marRight w:val="0"/>
                  <w:marTop w:val="0"/>
                  <w:marBottom w:val="0"/>
                  <w:divBdr>
                    <w:top w:val="none" w:sz="0" w:space="0" w:color="auto"/>
                    <w:left w:val="none" w:sz="0" w:space="0" w:color="auto"/>
                    <w:bottom w:val="none" w:sz="0" w:space="0" w:color="auto"/>
                    <w:right w:val="none" w:sz="0" w:space="0" w:color="auto"/>
                  </w:divBdr>
                  <w:divsChild>
                    <w:div w:id="8705349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50319">
      <w:bodyDiv w:val="1"/>
      <w:marLeft w:val="0"/>
      <w:marRight w:val="0"/>
      <w:marTop w:val="0"/>
      <w:marBottom w:val="0"/>
      <w:divBdr>
        <w:top w:val="none" w:sz="0" w:space="0" w:color="auto"/>
        <w:left w:val="none" w:sz="0" w:space="0" w:color="auto"/>
        <w:bottom w:val="none" w:sz="0" w:space="0" w:color="auto"/>
        <w:right w:val="none" w:sz="0" w:space="0" w:color="auto"/>
      </w:divBdr>
      <w:divsChild>
        <w:div w:id="1474905437">
          <w:marLeft w:val="0"/>
          <w:marRight w:val="0"/>
          <w:marTop w:val="0"/>
          <w:marBottom w:val="0"/>
          <w:divBdr>
            <w:top w:val="none" w:sz="0" w:space="0" w:color="auto"/>
            <w:left w:val="none" w:sz="0" w:space="0" w:color="auto"/>
            <w:bottom w:val="none" w:sz="0" w:space="0" w:color="auto"/>
            <w:right w:val="none" w:sz="0" w:space="0" w:color="auto"/>
          </w:divBdr>
          <w:divsChild>
            <w:div w:id="1832478379">
              <w:marLeft w:val="0"/>
              <w:marRight w:val="0"/>
              <w:marTop w:val="0"/>
              <w:marBottom w:val="0"/>
              <w:divBdr>
                <w:top w:val="none" w:sz="0" w:space="0" w:color="auto"/>
                <w:left w:val="none" w:sz="0" w:space="0" w:color="auto"/>
                <w:bottom w:val="none" w:sz="0" w:space="0" w:color="auto"/>
                <w:right w:val="none" w:sz="0" w:space="0" w:color="auto"/>
              </w:divBdr>
              <w:divsChild>
                <w:div w:id="201291981">
                  <w:marLeft w:val="0"/>
                  <w:marRight w:val="0"/>
                  <w:marTop w:val="0"/>
                  <w:marBottom w:val="0"/>
                  <w:divBdr>
                    <w:top w:val="none" w:sz="0" w:space="0" w:color="auto"/>
                    <w:left w:val="none" w:sz="0" w:space="0" w:color="auto"/>
                    <w:bottom w:val="none" w:sz="0" w:space="0" w:color="auto"/>
                    <w:right w:val="none" w:sz="0" w:space="0" w:color="auto"/>
                  </w:divBdr>
                  <w:divsChild>
                    <w:div w:id="1295216915">
                      <w:marLeft w:val="0"/>
                      <w:marRight w:val="0"/>
                      <w:marTop w:val="0"/>
                      <w:marBottom w:val="0"/>
                      <w:divBdr>
                        <w:top w:val="none" w:sz="0" w:space="0" w:color="auto"/>
                        <w:left w:val="none" w:sz="0" w:space="0" w:color="auto"/>
                        <w:bottom w:val="none" w:sz="0" w:space="0" w:color="auto"/>
                        <w:right w:val="none" w:sz="0" w:space="0" w:color="auto"/>
                      </w:divBdr>
                      <w:divsChild>
                        <w:div w:id="9277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418398">
      <w:bodyDiv w:val="1"/>
      <w:marLeft w:val="0"/>
      <w:marRight w:val="0"/>
      <w:marTop w:val="0"/>
      <w:marBottom w:val="0"/>
      <w:divBdr>
        <w:top w:val="none" w:sz="0" w:space="0" w:color="auto"/>
        <w:left w:val="none" w:sz="0" w:space="0" w:color="auto"/>
        <w:bottom w:val="none" w:sz="0" w:space="0" w:color="auto"/>
        <w:right w:val="none" w:sz="0" w:space="0" w:color="auto"/>
      </w:divBdr>
    </w:div>
    <w:div w:id="380983274">
      <w:bodyDiv w:val="1"/>
      <w:marLeft w:val="0"/>
      <w:marRight w:val="0"/>
      <w:marTop w:val="0"/>
      <w:marBottom w:val="0"/>
      <w:divBdr>
        <w:top w:val="none" w:sz="0" w:space="0" w:color="auto"/>
        <w:left w:val="none" w:sz="0" w:space="0" w:color="auto"/>
        <w:bottom w:val="none" w:sz="0" w:space="0" w:color="auto"/>
        <w:right w:val="none" w:sz="0" w:space="0" w:color="auto"/>
      </w:divBdr>
      <w:divsChild>
        <w:div w:id="62413384">
          <w:marLeft w:val="0"/>
          <w:marRight w:val="0"/>
          <w:marTop w:val="0"/>
          <w:marBottom w:val="0"/>
          <w:divBdr>
            <w:top w:val="none" w:sz="0" w:space="0" w:color="auto"/>
            <w:left w:val="none" w:sz="0" w:space="0" w:color="auto"/>
            <w:bottom w:val="none" w:sz="0" w:space="0" w:color="auto"/>
            <w:right w:val="none" w:sz="0" w:space="0" w:color="auto"/>
          </w:divBdr>
          <w:divsChild>
            <w:div w:id="529682428">
              <w:marLeft w:val="0"/>
              <w:marRight w:val="0"/>
              <w:marTop w:val="0"/>
              <w:marBottom w:val="0"/>
              <w:divBdr>
                <w:top w:val="none" w:sz="0" w:space="0" w:color="auto"/>
                <w:left w:val="none" w:sz="0" w:space="0" w:color="auto"/>
                <w:bottom w:val="none" w:sz="0" w:space="0" w:color="auto"/>
                <w:right w:val="none" w:sz="0" w:space="0" w:color="auto"/>
              </w:divBdr>
              <w:divsChild>
                <w:div w:id="70592329">
                  <w:marLeft w:val="0"/>
                  <w:marRight w:val="0"/>
                  <w:marTop w:val="0"/>
                  <w:marBottom w:val="0"/>
                  <w:divBdr>
                    <w:top w:val="none" w:sz="0" w:space="0" w:color="auto"/>
                    <w:left w:val="none" w:sz="0" w:space="0" w:color="auto"/>
                    <w:bottom w:val="none" w:sz="0" w:space="0" w:color="auto"/>
                    <w:right w:val="none" w:sz="0" w:space="0" w:color="auto"/>
                  </w:divBdr>
                  <w:divsChild>
                    <w:div w:id="14185576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683481">
      <w:bodyDiv w:val="1"/>
      <w:marLeft w:val="0"/>
      <w:marRight w:val="0"/>
      <w:marTop w:val="0"/>
      <w:marBottom w:val="0"/>
      <w:divBdr>
        <w:top w:val="none" w:sz="0" w:space="0" w:color="auto"/>
        <w:left w:val="none" w:sz="0" w:space="0" w:color="auto"/>
        <w:bottom w:val="none" w:sz="0" w:space="0" w:color="auto"/>
        <w:right w:val="none" w:sz="0" w:space="0" w:color="auto"/>
      </w:divBdr>
    </w:div>
    <w:div w:id="609705996">
      <w:bodyDiv w:val="1"/>
      <w:marLeft w:val="0"/>
      <w:marRight w:val="0"/>
      <w:marTop w:val="0"/>
      <w:marBottom w:val="0"/>
      <w:divBdr>
        <w:top w:val="none" w:sz="0" w:space="0" w:color="auto"/>
        <w:left w:val="none" w:sz="0" w:space="0" w:color="auto"/>
        <w:bottom w:val="none" w:sz="0" w:space="0" w:color="auto"/>
        <w:right w:val="none" w:sz="0" w:space="0" w:color="auto"/>
      </w:divBdr>
    </w:div>
    <w:div w:id="634137702">
      <w:bodyDiv w:val="1"/>
      <w:marLeft w:val="750"/>
      <w:marRight w:val="300"/>
      <w:marTop w:val="0"/>
      <w:marBottom w:val="0"/>
      <w:divBdr>
        <w:top w:val="none" w:sz="0" w:space="0" w:color="auto"/>
        <w:left w:val="none" w:sz="0" w:space="0" w:color="auto"/>
        <w:bottom w:val="none" w:sz="0" w:space="0" w:color="auto"/>
        <w:right w:val="none" w:sz="0" w:space="0" w:color="auto"/>
      </w:divBdr>
    </w:div>
    <w:div w:id="720521151">
      <w:bodyDiv w:val="1"/>
      <w:marLeft w:val="0"/>
      <w:marRight w:val="0"/>
      <w:marTop w:val="0"/>
      <w:marBottom w:val="0"/>
      <w:divBdr>
        <w:top w:val="none" w:sz="0" w:space="0" w:color="auto"/>
        <w:left w:val="none" w:sz="0" w:space="0" w:color="auto"/>
        <w:bottom w:val="none" w:sz="0" w:space="0" w:color="auto"/>
        <w:right w:val="none" w:sz="0" w:space="0" w:color="auto"/>
      </w:divBdr>
      <w:divsChild>
        <w:div w:id="1475030210">
          <w:marLeft w:val="0"/>
          <w:marRight w:val="0"/>
          <w:marTop w:val="0"/>
          <w:marBottom w:val="0"/>
          <w:divBdr>
            <w:top w:val="none" w:sz="0" w:space="0" w:color="auto"/>
            <w:left w:val="none" w:sz="0" w:space="0" w:color="auto"/>
            <w:bottom w:val="none" w:sz="0" w:space="0" w:color="auto"/>
            <w:right w:val="none" w:sz="0" w:space="0" w:color="auto"/>
          </w:divBdr>
          <w:divsChild>
            <w:div w:id="948438716">
              <w:marLeft w:val="0"/>
              <w:marRight w:val="0"/>
              <w:marTop w:val="0"/>
              <w:marBottom w:val="0"/>
              <w:divBdr>
                <w:top w:val="none" w:sz="0" w:space="0" w:color="auto"/>
                <w:left w:val="none" w:sz="0" w:space="0" w:color="auto"/>
                <w:bottom w:val="none" w:sz="0" w:space="0" w:color="auto"/>
                <w:right w:val="none" w:sz="0" w:space="0" w:color="auto"/>
              </w:divBdr>
              <w:divsChild>
                <w:div w:id="1555777512">
                  <w:marLeft w:val="0"/>
                  <w:marRight w:val="0"/>
                  <w:marTop w:val="0"/>
                  <w:marBottom w:val="0"/>
                  <w:divBdr>
                    <w:top w:val="none" w:sz="0" w:space="0" w:color="auto"/>
                    <w:left w:val="none" w:sz="0" w:space="0" w:color="auto"/>
                    <w:bottom w:val="none" w:sz="0" w:space="0" w:color="auto"/>
                    <w:right w:val="none" w:sz="0" w:space="0" w:color="auto"/>
                  </w:divBdr>
                  <w:divsChild>
                    <w:div w:id="1749695027">
                      <w:marLeft w:val="0"/>
                      <w:marRight w:val="0"/>
                      <w:marTop w:val="0"/>
                      <w:marBottom w:val="0"/>
                      <w:divBdr>
                        <w:top w:val="none" w:sz="0" w:space="0" w:color="auto"/>
                        <w:left w:val="none" w:sz="0" w:space="0" w:color="auto"/>
                        <w:bottom w:val="none" w:sz="0" w:space="0" w:color="auto"/>
                        <w:right w:val="none" w:sz="0" w:space="0" w:color="auto"/>
                      </w:divBdr>
                      <w:divsChild>
                        <w:div w:id="1116482903">
                          <w:marLeft w:val="0"/>
                          <w:marRight w:val="0"/>
                          <w:marTop w:val="0"/>
                          <w:marBottom w:val="0"/>
                          <w:divBdr>
                            <w:top w:val="none" w:sz="0" w:space="0" w:color="auto"/>
                            <w:left w:val="none" w:sz="0" w:space="0" w:color="auto"/>
                            <w:bottom w:val="none" w:sz="0" w:space="0" w:color="auto"/>
                            <w:right w:val="none" w:sz="0" w:space="0" w:color="auto"/>
                          </w:divBdr>
                          <w:divsChild>
                            <w:div w:id="2030140833">
                              <w:marLeft w:val="0"/>
                              <w:marRight w:val="0"/>
                              <w:marTop w:val="0"/>
                              <w:marBottom w:val="0"/>
                              <w:divBdr>
                                <w:top w:val="none" w:sz="0" w:space="0" w:color="auto"/>
                                <w:left w:val="none" w:sz="0" w:space="0" w:color="auto"/>
                                <w:bottom w:val="none" w:sz="0" w:space="0" w:color="auto"/>
                                <w:right w:val="none" w:sz="0" w:space="0" w:color="auto"/>
                              </w:divBdr>
                              <w:divsChild>
                                <w:div w:id="8296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788214">
      <w:bodyDiv w:val="1"/>
      <w:marLeft w:val="0"/>
      <w:marRight w:val="0"/>
      <w:marTop w:val="0"/>
      <w:marBottom w:val="0"/>
      <w:divBdr>
        <w:top w:val="none" w:sz="0" w:space="0" w:color="auto"/>
        <w:left w:val="none" w:sz="0" w:space="0" w:color="auto"/>
        <w:bottom w:val="none" w:sz="0" w:space="0" w:color="auto"/>
        <w:right w:val="none" w:sz="0" w:space="0" w:color="auto"/>
      </w:divBdr>
      <w:divsChild>
        <w:div w:id="1063331500">
          <w:marLeft w:val="0"/>
          <w:marRight w:val="0"/>
          <w:marTop w:val="0"/>
          <w:marBottom w:val="0"/>
          <w:divBdr>
            <w:top w:val="none" w:sz="0" w:space="0" w:color="auto"/>
            <w:left w:val="none" w:sz="0" w:space="0" w:color="auto"/>
            <w:bottom w:val="none" w:sz="0" w:space="0" w:color="auto"/>
            <w:right w:val="none" w:sz="0" w:space="0" w:color="auto"/>
          </w:divBdr>
          <w:divsChild>
            <w:div w:id="2091805321">
              <w:marLeft w:val="0"/>
              <w:marRight w:val="0"/>
              <w:marTop w:val="0"/>
              <w:marBottom w:val="0"/>
              <w:divBdr>
                <w:top w:val="none" w:sz="0" w:space="0" w:color="auto"/>
                <w:left w:val="none" w:sz="0" w:space="0" w:color="auto"/>
                <w:bottom w:val="none" w:sz="0" w:space="0" w:color="auto"/>
                <w:right w:val="none" w:sz="0" w:space="0" w:color="auto"/>
              </w:divBdr>
              <w:divsChild>
                <w:div w:id="1039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4753">
      <w:bodyDiv w:val="1"/>
      <w:marLeft w:val="0"/>
      <w:marRight w:val="0"/>
      <w:marTop w:val="75"/>
      <w:marBottom w:val="75"/>
      <w:divBdr>
        <w:top w:val="none" w:sz="0" w:space="0" w:color="auto"/>
        <w:left w:val="none" w:sz="0" w:space="0" w:color="auto"/>
        <w:bottom w:val="none" w:sz="0" w:space="0" w:color="auto"/>
        <w:right w:val="none" w:sz="0" w:space="0" w:color="auto"/>
      </w:divBdr>
      <w:divsChild>
        <w:div w:id="203760143">
          <w:marLeft w:val="0"/>
          <w:marRight w:val="0"/>
          <w:marTop w:val="0"/>
          <w:marBottom w:val="0"/>
          <w:divBdr>
            <w:top w:val="single" w:sz="6" w:space="0" w:color="000066"/>
            <w:left w:val="single" w:sz="6" w:space="0" w:color="000066"/>
            <w:bottom w:val="single" w:sz="6" w:space="0" w:color="000066"/>
            <w:right w:val="single" w:sz="6" w:space="0" w:color="000066"/>
          </w:divBdr>
          <w:divsChild>
            <w:div w:id="11736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5141">
      <w:bodyDiv w:val="1"/>
      <w:marLeft w:val="0"/>
      <w:marRight w:val="0"/>
      <w:marTop w:val="0"/>
      <w:marBottom w:val="0"/>
      <w:divBdr>
        <w:top w:val="none" w:sz="0" w:space="0" w:color="auto"/>
        <w:left w:val="none" w:sz="0" w:space="0" w:color="auto"/>
        <w:bottom w:val="none" w:sz="0" w:space="0" w:color="auto"/>
        <w:right w:val="none" w:sz="0" w:space="0" w:color="auto"/>
      </w:divBdr>
      <w:divsChild>
        <w:div w:id="1500266732">
          <w:marLeft w:val="0"/>
          <w:marRight w:val="0"/>
          <w:marTop w:val="0"/>
          <w:marBottom w:val="0"/>
          <w:divBdr>
            <w:top w:val="none" w:sz="0" w:space="0" w:color="auto"/>
            <w:left w:val="none" w:sz="0" w:space="0" w:color="auto"/>
            <w:bottom w:val="none" w:sz="0" w:space="0" w:color="auto"/>
            <w:right w:val="none" w:sz="0" w:space="0" w:color="auto"/>
          </w:divBdr>
          <w:divsChild>
            <w:div w:id="2025547195">
              <w:marLeft w:val="0"/>
              <w:marRight w:val="0"/>
              <w:marTop w:val="0"/>
              <w:marBottom w:val="0"/>
              <w:divBdr>
                <w:top w:val="none" w:sz="0" w:space="0" w:color="auto"/>
                <w:left w:val="none" w:sz="0" w:space="0" w:color="auto"/>
                <w:bottom w:val="none" w:sz="0" w:space="0" w:color="auto"/>
                <w:right w:val="none" w:sz="0" w:space="0" w:color="auto"/>
              </w:divBdr>
              <w:divsChild>
                <w:div w:id="1170415064">
                  <w:marLeft w:val="0"/>
                  <w:marRight w:val="0"/>
                  <w:marTop w:val="0"/>
                  <w:marBottom w:val="0"/>
                  <w:divBdr>
                    <w:top w:val="none" w:sz="0" w:space="0" w:color="auto"/>
                    <w:left w:val="none" w:sz="0" w:space="0" w:color="auto"/>
                    <w:bottom w:val="none" w:sz="0" w:space="0" w:color="auto"/>
                    <w:right w:val="none" w:sz="0" w:space="0" w:color="auto"/>
                  </w:divBdr>
                  <w:divsChild>
                    <w:div w:id="1150554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9542">
      <w:bodyDiv w:val="1"/>
      <w:marLeft w:val="0"/>
      <w:marRight w:val="0"/>
      <w:marTop w:val="0"/>
      <w:marBottom w:val="0"/>
      <w:divBdr>
        <w:top w:val="none" w:sz="0" w:space="0" w:color="auto"/>
        <w:left w:val="none" w:sz="0" w:space="0" w:color="auto"/>
        <w:bottom w:val="none" w:sz="0" w:space="0" w:color="auto"/>
        <w:right w:val="none" w:sz="0" w:space="0" w:color="auto"/>
      </w:divBdr>
      <w:divsChild>
        <w:div w:id="215167224">
          <w:marLeft w:val="0"/>
          <w:marRight w:val="0"/>
          <w:marTop w:val="0"/>
          <w:marBottom w:val="0"/>
          <w:divBdr>
            <w:top w:val="none" w:sz="0" w:space="0" w:color="auto"/>
            <w:left w:val="none" w:sz="0" w:space="0" w:color="auto"/>
            <w:bottom w:val="none" w:sz="0" w:space="0" w:color="auto"/>
            <w:right w:val="none" w:sz="0" w:space="0" w:color="auto"/>
          </w:divBdr>
          <w:divsChild>
            <w:div w:id="2116823280">
              <w:marLeft w:val="0"/>
              <w:marRight w:val="0"/>
              <w:marTop w:val="0"/>
              <w:marBottom w:val="0"/>
              <w:divBdr>
                <w:top w:val="none" w:sz="0" w:space="0" w:color="auto"/>
                <w:left w:val="none" w:sz="0" w:space="0" w:color="auto"/>
                <w:bottom w:val="none" w:sz="0" w:space="0" w:color="auto"/>
                <w:right w:val="none" w:sz="0" w:space="0" w:color="auto"/>
              </w:divBdr>
              <w:divsChild>
                <w:div w:id="1921913387">
                  <w:marLeft w:val="0"/>
                  <w:marRight w:val="0"/>
                  <w:marTop w:val="0"/>
                  <w:marBottom w:val="0"/>
                  <w:divBdr>
                    <w:top w:val="none" w:sz="0" w:space="0" w:color="auto"/>
                    <w:left w:val="none" w:sz="0" w:space="0" w:color="auto"/>
                    <w:bottom w:val="none" w:sz="0" w:space="0" w:color="auto"/>
                    <w:right w:val="none" w:sz="0" w:space="0" w:color="auto"/>
                  </w:divBdr>
                  <w:divsChild>
                    <w:div w:id="1179271659">
                      <w:marLeft w:val="0"/>
                      <w:marRight w:val="0"/>
                      <w:marTop w:val="0"/>
                      <w:marBottom w:val="0"/>
                      <w:divBdr>
                        <w:top w:val="none" w:sz="0" w:space="0" w:color="auto"/>
                        <w:left w:val="none" w:sz="0" w:space="0" w:color="auto"/>
                        <w:bottom w:val="none" w:sz="0" w:space="0" w:color="auto"/>
                        <w:right w:val="none" w:sz="0" w:space="0" w:color="auto"/>
                      </w:divBdr>
                      <w:divsChild>
                        <w:div w:id="116724796">
                          <w:marLeft w:val="0"/>
                          <w:marRight w:val="0"/>
                          <w:marTop w:val="0"/>
                          <w:marBottom w:val="0"/>
                          <w:divBdr>
                            <w:top w:val="none" w:sz="0" w:space="0" w:color="auto"/>
                            <w:left w:val="none" w:sz="0" w:space="0" w:color="auto"/>
                            <w:bottom w:val="none" w:sz="0" w:space="0" w:color="auto"/>
                            <w:right w:val="none" w:sz="0" w:space="0" w:color="auto"/>
                          </w:divBdr>
                          <w:divsChild>
                            <w:div w:id="1261841700">
                              <w:marLeft w:val="0"/>
                              <w:marRight w:val="0"/>
                              <w:marTop w:val="0"/>
                              <w:marBottom w:val="0"/>
                              <w:divBdr>
                                <w:top w:val="none" w:sz="0" w:space="0" w:color="auto"/>
                                <w:left w:val="none" w:sz="0" w:space="0" w:color="auto"/>
                                <w:bottom w:val="none" w:sz="0" w:space="0" w:color="auto"/>
                                <w:right w:val="none" w:sz="0" w:space="0" w:color="auto"/>
                              </w:divBdr>
                              <w:divsChild>
                                <w:div w:id="914970996">
                                  <w:marLeft w:val="0"/>
                                  <w:marRight w:val="0"/>
                                  <w:marTop w:val="0"/>
                                  <w:marBottom w:val="0"/>
                                  <w:divBdr>
                                    <w:top w:val="none" w:sz="0" w:space="0" w:color="auto"/>
                                    <w:left w:val="none" w:sz="0" w:space="0" w:color="auto"/>
                                    <w:bottom w:val="none" w:sz="0" w:space="0" w:color="auto"/>
                                    <w:right w:val="none" w:sz="0" w:space="0" w:color="auto"/>
                                  </w:divBdr>
                                </w:div>
                              </w:divsChild>
                            </w:div>
                            <w:div w:id="1647973274">
                              <w:marLeft w:val="0"/>
                              <w:marRight w:val="0"/>
                              <w:marTop w:val="60"/>
                              <w:marBottom w:val="150"/>
                              <w:divBdr>
                                <w:top w:val="none" w:sz="0" w:space="0" w:color="auto"/>
                                <w:left w:val="none" w:sz="0" w:space="0" w:color="auto"/>
                                <w:bottom w:val="none" w:sz="0" w:space="0" w:color="auto"/>
                                <w:right w:val="none" w:sz="0" w:space="0" w:color="auto"/>
                              </w:divBdr>
                              <w:divsChild>
                                <w:div w:id="128018778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156506">
      <w:bodyDiv w:val="1"/>
      <w:marLeft w:val="0"/>
      <w:marRight w:val="0"/>
      <w:marTop w:val="0"/>
      <w:marBottom w:val="0"/>
      <w:divBdr>
        <w:top w:val="none" w:sz="0" w:space="0" w:color="auto"/>
        <w:left w:val="none" w:sz="0" w:space="0" w:color="auto"/>
        <w:bottom w:val="none" w:sz="0" w:space="0" w:color="auto"/>
        <w:right w:val="none" w:sz="0" w:space="0" w:color="auto"/>
      </w:divBdr>
      <w:divsChild>
        <w:div w:id="943263613">
          <w:marLeft w:val="0"/>
          <w:marRight w:val="0"/>
          <w:marTop w:val="0"/>
          <w:marBottom w:val="0"/>
          <w:divBdr>
            <w:top w:val="none" w:sz="0" w:space="0" w:color="auto"/>
            <w:left w:val="none" w:sz="0" w:space="0" w:color="auto"/>
            <w:bottom w:val="none" w:sz="0" w:space="0" w:color="auto"/>
            <w:right w:val="none" w:sz="0" w:space="0" w:color="auto"/>
          </w:divBdr>
          <w:divsChild>
            <w:div w:id="1326787045">
              <w:marLeft w:val="0"/>
              <w:marRight w:val="0"/>
              <w:marTop w:val="0"/>
              <w:marBottom w:val="0"/>
              <w:divBdr>
                <w:top w:val="none" w:sz="0" w:space="0" w:color="auto"/>
                <w:left w:val="none" w:sz="0" w:space="0" w:color="auto"/>
                <w:bottom w:val="none" w:sz="0" w:space="0" w:color="auto"/>
                <w:right w:val="none" w:sz="0" w:space="0" w:color="auto"/>
              </w:divBdr>
              <w:divsChild>
                <w:div w:id="27534724">
                  <w:marLeft w:val="0"/>
                  <w:marRight w:val="0"/>
                  <w:marTop w:val="0"/>
                  <w:marBottom w:val="0"/>
                  <w:divBdr>
                    <w:top w:val="none" w:sz="0" w:space="0" w:color="auto"/>
                    <w:left w:val="none" w:sz="0" w:space="0" w:color="auto"/>
                    <w:bottom w:val="none" w:sz="0" w:space="0" w:color="auto"/>
                    <w:right w:val="none" w:sz="0" w:space="0" w:color="auto"/>
                  </w:divBdr>
                  <w:divsChild>
                    <w:div w:id="17841799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38409">
      <w:bodyDiv w:val="1"/>
      <w:marLeft w:val="0"/>
      <w:marRight w:val="0"/>
      <w:marTop w:val="0"/>
      <w:marBottom w:val="0"/>
      <w:divBdr>
        <w:top w:val="none" w:sz="0" w:space="0" w:color="auto"/>
        <w:left w:val="none" w:sz="0" w:space="0" w:color="auto"/>
        <w:bottom w:val="none" w:sz="0" w:space="0" w:color="auto"/>
        <w:right w:val="none" w:sz="0" w:space="0" w:color="auto"/>
      </w:divBdr>
    </w:div>
    <w:div w:id="877738538">
      <w:bodyDiv w:val="1"/>
      <w:marLeft w:val="0"/>
      <w:marRight w:val="0"/>
      <w:marTop w:val="0"/>
      <w:marBottom w:val="0"/>
      <w:divBdr>
        <w:top w:val="none" w:sz="0" w:space="0" w:color="auto"/>
        <w:left w:val="none" w:sz="0" w:space="0" w:color="auto"/>
        <w:bottom w:val="none" w:sz="0" w:space="0" w:color="auto"/>
        <w:right w:val="none" w:sz="0" w:space="0" w:color="auto"/>
      </w:divBdr>
    </w:div>
    <w:div w:id="1130054899">
      <w:bodyDiv w:val="1"/>
      <w:marLeft w:val="0"/>
      <w:marRight w:val="0"/>
      <w:marTop w:val="0"/>
      <w:marBottom w:val="0"/>
      <w:divBdr>
        <w:top w:val="none" w:sz="0" w:space="0" w:color="auto"/>
        <w:left w:val="none" w:sz="0" w:space="0" w:color="auto"/>
        <w:bottom w:val="none" w:sz="0" w:space="0" w:color="auto"/>
        <w:right w:val="none" w:sz="0" w:space="0" w:color="auto"/>
      </w:divBdr>
    </w:div>
    <w:div w:id="1130976401">
      <w:bodyDiv w:val="1"/>
      <w:marLeft w:val="0"/>
      <w:marRight w:val="0"/>
      <w:marTop w:val="0"/>
      <w:marBottom w:val="0"/>
      <w:divBdr>
        <w:top w:val="none" w:sz="0" w:space="0" w:color="auto"/>
        <w:left w:val="none" w:sz="0" w:space="0" w:color="auto"/>
        <w:bottom w:val="none" w:sz="0" w:space="0" w:color="auto"/>
        <w:right w:val="none" w:sz="0" w:space="0" w:color="auto"/>
      </w:divBdr>
    </w:div>
    <w:div w:id="1199586449">
      <w:bodyDiv w:val="1"/>
      <w:marLeft w:val="0"/>
      <w:marRight w:val="0"/>
      <w:marTop w:val="0"/>
      <w:marBottom w:val="0"/>
      <w:divBdr>
        <w:top w:val="none" w:sz="0" w:space="0" w:color="auto"/>
        <w:left w:val="none" w:sz="0" w:space="0" w:color="auto"/>
        <w:bottom w:val="none" w:sz="0" w:space="0" w:color="auto"/>
        <w:right w:val="none" w:sz="0" w:space="0" w:color="auto"/>
      </w:divBdr>
      <w:divsChild>
        <w:div w:id="9842793">
          <w:marLeft w:val="0"/>
          <w:marRight w:val="0"/>
          <w:marTop w:val="0"/>
          <w:marBottom w:val="0"/>
          <w:divBdr>
            <w:top w:val="none" w:sz="0" w:space="0" w:color="auto"/>
            <w:left w:val="none" w:sz="0" w:space="0" w:color="auto"/>
            <w:bottom w:val="none" w:sz="0" w:space="0" w:color="auto"/>
            <w:right w:val="none" w:sz="0" w:space="0" w:color="auto"/>
          </w:divBdr>
          <w:divsChild>
            <w:div w:id="1742799408">
              <w:marLeft w:val="0"/>
              <w:marRight w:val="0"/>
              <w:marTop w:val="0"/>
              <w:marBottom w:val="0"/>
              <w:divBdr>
                <w:top w:val="none" w:sz="0" w:space="0" w:color="auto"/>
                <w:left w:val="none" w:sz="0" w:space="0" w:color="auto"/>
                <w:bottom w:val="none" w:sz="0" w:space="0" w:color="auto"/>
                <w:right w:val="none" w:sz="0" w:space="0" w:color="auto"/>
              </w:divBdr>
              <w:divsChild>
                <w:div w:id="426850054">
                  <w:marLeft w:val="0"/>
                  <w:marRight w:val="0"/>
                  <w:marTop w:val="0"/>
                  <w:marBottom w:val="0"/>
                  <w:divBdr>
                    <w:top w:val="none" w:sz="0" w:space="0" w:color="auto"/>
                    <w:left w:val="none" w:sz="0" w:space="0" w:color="auto"/>
                    <w:bottom w:val="none" w:sz="0" w:space="0" w:color="auto"/>
                    <w:right w:val="none" w:sz="0" w:space="0" w:color="auto"/>
                  </w:divBdr>
                  <w:divsChild>
                    <w:div w:id="1086244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59448">
      <w:bodyDiv w:val="1"/>
      <w:marLeft w:val="0"/>
      <w:marRight w:val="0"/>
      <w:marTop w:val="0"/>
      <w:marBottom w:val="0"/>
      <w:divBdr>
        <w:top w:val="none" w:sz="0" w:space="0" w:color="auto"/>
        <w:left w:val="none" w:sz="0" w:space="0" w:color="auto"/>
        <w:bottom w:val="none" w:sz="0" w:space="0" w:color="auto"/>
        <w:right w:val="none" w:sz="0" w:space="0" w:color="auto"/>
      </w:divBdr>
    </w:div>
    <w:div w:id="1349136627">
      <w:bodyDiv w:val="1"/>
      <w:marLeft w:val="0"/>
      <w:marRight w:val="0"/>
      <w:marTop w:val="0"/>
      <w:marBottom w:val="0"/>
      <w:divBdr>
        <w:top w:val="none" w:sz="0" w:space="0" w:color="auto"/>
        <w:left w:val="none" w:sz="0" w:space="0" w:color="auto"/>
        <w:bottom w:val="none" w:sz="0" w:space="0" w:color="auto"/>
        <w:right w:val="none" w:sz="0" w:space="0" w:color="auto"/>
      </w:divBdr>
    </w:div>
    <w:div w:id="1381323894">
      <w:bodyDiv w:val="1"/>
      <w:marLeft w:val="0"/>
      <w:marRight w:val="0"/>
      <w:marTop w:val="0"/>
      <w:marBottom w:val="0"/>
      <w:divBdr>
        <w:top w:val="none" w:sz="0" w:space="0" w:color="auto"/>
        <w:left w:val="none" w:sz="0" w:space="0" w:color="auto"/>
        <w:bottom w:val="none" w:sz="0" w:space="0" w:color="auto"/>
        <w:right w:val="none" w:sz="0" w:space="0" w:color="auto"/>
      </w:divBdr>
      <w:divsChild>
        <w:div w:id="810294286">
          <w:marLeft w:val="0"/>
          <w:marRight w:val="0"/>
          <w:marTop w:val="0"/>
          <w:marBottom w:val="0"/>
          <w:divBdr>
            <w:top w:val="none" w:sz="0" w:space="0" w:color="auto"/>
            <w:left w:val="none" w:sz="0" w:space="0" w:color="auto"/>
            <w:bottom w:val="none" w:sz="0" w:space="0" w:color="auto"/>
            <w:right w:val="none" w:sz="0" w:space="0" w:color="auto"/>
          </w:divBdr>
          <w:divsChild>
            <w:div w:id="1604413769">
              <w:marLeft w:val="0"/>
              <w:marRight w:val="0"/>
              <w:marTop w:val="0"/>
              <w:marBottom w:val="0"/>
              <w:divBdr>
                <w:top w:val="none" w:sz="0" w:space="0" w:color="auto"/>
                <w:left w:val="none" w:sz="0" w:space="0" w:color="auto"/>
                <w:bottom w:val="none" w:sz="0" w:space="0" w:color="auto"/>
                <w:right w:val="none" w:sz="0" w:space="0" w:color="auto"/>
              </w:divBdr>
              <w:divsChild>
                <w:div w:id="1856655154">
                  <w:marLeft w:val="0"/>
                  <w:marRight w:val="0"/>
                  <w:marTop w:val="0"/>
                  <w:marBottom w:val="0"/>
                  <w:divBdr>
                    <w:top w:val="none" w:sz="0" w:space="0" w:color="auto"/>
                    <w:left w:val="none" w:sz="0" w:space="0" w:color="auto"/>
                    <w:bottom w:val="none" w:sz="0" w:space="0" w:color="auto"/>
                    <w:right w:val="none" w:sz="0" w:space="0" w:color="auto"/>
                  </w:divBdr>
                  <w:divsChild>
                    <w:div w:id="18348798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043">
      <w:bodyDiv w:val="1"/>
      <w:marLeft w:val="0"/>
      <w:marRight w:val="0"/>
      <w:marTop w:val="0"/>
      <w:marBottom w:val="0"/>
      <w:divBdr>
        <w:top w:val="none" w:sz="0" w:space="0" w:color="auto"/>
        <w:left w:val="none" w:sz="0" w:space="0" w:color="auto"/>
        <w:bottom w:val="none" w:sz="0" w:space="0" w:color="auto"/>
        <w:right w:val="none" w:sz="0" w:space="0" w:color="auto"/>
      </w:divBdr>
      <w:divsChild>
        <w:div w:id="217009500">
          <w:marLeft w:val="0"/>
          <w:marRight w:val="0"/>
          <w:marTop w:val="0"/>
          <w:marBottom w:val="0"/>
          <w:divBdr>
            <w:top w:val="none" w:sz="0" w:space="0" w:color="auto"/>
            <w:left w:val="none" w:sz="0" w:space="0" w:color="auto"/>
            <w:bottom w:val="none" w:sz="0" w:space="0" w:color="auto"/>
            <w:right w:val="none" w:sz="0" w:space="0" w:color="auto"/>
          </w:divBdr>
          <w:divsChild>
            <w:div w:id="302932729">
              <w:marLeft w:val="0"/>
              <w:marRight w:val="0"/>
              <w:marTop w:val="0"/>
              <w:marBottom w:val="0"/>
              <w:divBdr>
                <w:top w:val="none" w:sz="0" w:space="0" w:color="auto"/>
                <w:left w:val="none" w:sz="0" w:space="0" w:color="auto"/>
                <w:bottom w:val="none" w:sz="0" w:space="0" w:color="auto"/>
                <w:right w:val="none" w:sz="0" w:space="0" w:color="auto"/>
              </w:divBdr>
              <w:divsChild>
                <w:div w:id="891649043">
                  <w:marLeft w:val="0"/>
                  <w:marRight w:val="0"/>
                  <w:marTop w:val="0"/>
                  <w:marBottom w:val="0"/>
                  <w:divBdr>
                    <w:top w:val="none" w:sz="0" w:space="0" w:color="auto"/>
                    <w:left w:val="none" w:sz="0" w:space="0" w:color="auto"/>
                    <w:bottom w:val="none" w:sz="0" w:space="0" w:color="auto"/>
                    <w:right w:val="none" w:sz="0" w:space="0" w:color="auto"/>
                  </w:divBdr>
                  <w:divsChild>
                    <w:div w:id="18401198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59375">
      <w:bodyDiv w:val="1"/>
      <w:marLeft w:val="0"/>
      <w:marRight w:val="0"/>
      <w:marTop w:val="0"/>
      <w:marBottom w:val="0"/>
      <w:divBdr>
        <w:top w:val="none" w:sz="0" w:space="0" w:color="auto"/>
        <w:left w:val="none" w:sz="0" w:space="0" w:color="auto"/>
        <w:bottom w:val="none" w:sz="0" w:space="0" w:color="auto"/>
        <w:right w:val="none" w:sz="0" w:space="0" w:color="auto"/>
      </w:divBdr>
    </w:div>
    <w:div w:id="1611354787">
      <w:bodyDiv w:val="1"/>
      <w:marLeft w:val="0"/>
      <w:marRight w:val="0"/>
      <w:marTop w:val="0"/>
      <w:marBottom w:val="0"/>
      <w:divBdr>
        <w:top w:val="none" w:sz="0" w:space="0" w:color="auto"/>
        <w:left w:val="none" w:sz="0" w:space="0" w:color="auto"/>
        <w:bottom w:val="none" w:sz="0" w:space="0" w:color="auto"/>
        <w:right w:val="none" w:sz="0" w:space="0" w:color="auto"/>
      </w:divBdr>
      <w:divsChild>
        <w:div w:id="17700831">
          <w:marLeft w:val="0"/>
          <w:marRight w:val="0"/>
          <w:marTop w:val="0"/>
          <w:marBottom w:val="0"/>
          <w:divBdr>
            <w:top w:val="none" w:sz="0" w:space="0" w:color="auto"/>
            <w:left w:val="none" w:sz="0" w:space="0" w:color="auto"/>
            <w:bottom w:val="none" w:sz="0" w:space="0" w:color="auto"/>
            <w:right w:val="none" w:sz="0" w:space="0" w:color="auto"/>
          </w:divBdr>
          <w:divsChild>
            <w:div w:id="958491519">
              <w:marLeft w:val="0"/>
              <w:marRight w:val="0"/>
              <w:marTop w:val="0"/>
              <w:marBottom w:val="0"/>
              <w:divBdr>
                <w:top w:val="none" w:sz="0" w:space="0" w:color="auto"/>
                <w:left w:val="none" w:sz="0" w:space="0" w:color="auto"/>
                <w:bottom w:val="none" w:sz="0" w:space="0" w:color="auto"/>
                <w:right w:val="none" w:sz="0" w:space="0" w:color="auto"/>
              </w:divBdr>
              <w:divsChild>
                <w:div w:id="597980013">
                  <w:marLeft w:val="0"/>
                  <w:marRight w:val="0"/>
                  <w:marTop w:val="0"/>
                  <w:marBottom w:val="0"/>
                  <w:divBdr>
                    <w:top w:val="none" w:sz="0" w:space="0" w:color="auto"/>
                    <w:left w:val="none" w:sz="0" w:space="0" w:color="auto"/>
                    <w:bottom w:val="none" w:sz="0" w:space="0" w:color="auto"/>
                    <w:right w:val="none" w:sz="0" w:space="0" w:color="auto"/>
                  </w:divBdr>
                  <w:divsChild>
                    <w:div w:id="13854454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160">
      <w:bodyDiv w:val="1"/>
      <w:marLeft w:val="0"/>
      <w:marRight w:val="0"/>
      <w:marTop w:val="0"/>
      <w:marBottom w:val="0"/>
      <w:divBdr>
        <w:top w:val="none" w:sz="0" w:space="0" w:color="auto"/>
        <w:left w:val="none" w:sz="0" w:space="0" w:color="auto"/>
        <w:bottom w:val="none" w:sz="0" w:space="0" w:color="auto"/>
        <w:right w:val="none" w:sz="0" w:space="0" w:color="auto"/>
      </w:divBdr>
    </w:div>
    <w:div w:id="1862620704">
      <w:bodyDiv w:val="1"/>
      <w:marLeft w:val="0"/>
      <w:marRight w:val="0"/>
      <w:marTop w:val="0"/>
      <w:marBottom w:val="0"/>
      <w:divBdr>
        <w:top w:val="none" w:sz="0" w:space="0" w:color="auto"/>
        <w:left w:val="none" w:sz="0" w:space="0" w:color="auto"/>
        <w:bottom w:val="none" w:sz="0" w:space="0" w:color="auto"/>
        <w:right w:val="none" w:sz="0" w:space="0" w:color="auto"/>
      </w:divBdr>
    </w:div>
    <w:div w:id="1866747412">
      <w:bodyDiv w:val="1"/>
      <w:marLeft w:val="0"/>
      <w:marRight w:val="0"/>
      <w:marTop w:val="0"/>
      <w:marBottom w:val="0"/>
      <w:divBdr>
        <w:top w:val="none" w:sz="0" w:space="0" w:color="auto"/>
        <w:left w:val="none" w:sz="0" w:space="0" w:color="auto"/>
        <w:bottom w:val="none" w:sz="0" w:space="0" w:color="auto"/>
        <w:right w:val="none" w:sz="0" w:space="0" w:color="auto"/>
      </w:divBdr>
      <w:divsChild>
        <w:div w:id="1497921594">
          <w:marLeft w:val="0"/>
          <w:marRight w:val="0"/>
          <w:marTop w:val="0"/>
          <w:marBottom w:val="0"/>
          <w:divBdr>
            <w:top w:val="none" w:sz="0" w:space="0" w:color="auto"/>
            <w:left w:val="none" w:sz="0" w:space="0" w:color="auto"/>
            <w:bottom w:val="none" w:sz="0" w:space="0" w:color="auto"/>
            <w:right w:val="none" w:sz="0" w:space="0" w:color="auto"/>
          </w:divBdr>
          <w:divsChild>
            <w:div w:id="1665667005">
              <w:marLeft w:val="0"/>
              <w:marRight w:val="0"/>
              <w:marTop w:val="0"/>
              <w:marBottom w:val="0"/>
              <w:divBdr>
                <w:top w:val="none" w:sz="0" w:space="0" w:color="auto"/>
                <w:left w:val="none" w:sz="0" w:space="0" w:color="auto"/>
                <w:bottom w:val="none" w:sz="0" w:space="0" w:color="auto"/>
                <w:right w:val="none" w:sz="0" w:space="0" w:color="auto"/>
              </w:divBdr>
              <w:divsChild>
                <w:div w:id="139154067">
                  <w:marLeft w:val="0"/>
                  <w:marRight w:val="0"/>
                  <w:marTop w:val="0"/>
                  <w:marBottom w:val="0"/>
                  <w:divBdr>
                    <w:top w:val="none" w:sz="0" w:space="0" w:color="auto"/>
                    <w:left w:val="none" w:sz="0" w:space="0" w:color="auto"/>
                    <w:bottom w:val="none" w:sz="0" w:space="0" w:color="auto"/>
                    <w:right w:val="none" w:sz="0" w:space="0" w:color="auto"/>
                  </w:divBdr>
                  <w:divsChild>
                    <w:div w:id="884562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23578">
      <w:bodyDiv w:val="1"/>
      <w:marLeft w:val="0"/>
      <w:marRight w:val="0"/>
      <w:marTop w:val="0"/>
      <w:marBottom w:val="0"/>
      <w:divBdr>
        <w:top w:val="none" w:sz="0" w:space="0" w:color="auto"/>
        <w:left w:val="none" w:sz="0" w:space="0" w:color="auto"/>
        <w:bottom w:val="none" w:sz="0" w:space="0" w:color="auto"/>
        <w:right w:val="none" w:sz="0" w:space="0" w:color="auto"/>
      </w:divBdr>
      <w:divsChild>
        <w:div w:id="1857696545">
          <w:marLeft w:val="0"/>
          <w:marRight w:val="0"/>
          <w:marTop w:val="0"/>
          <w:marBottom w:val="0"/>
          <w:divBdr>
            <w:top w:val="none" w:sz="0" w:space="0" w:color="auto"/>
            <w:left w:val="none" w:sz="0" w:space="0" w:color="auto"/>
            <w:bottom w:val="none" w:sz="0" w:space="0" w:color="auto"/>
            <w:right w:val="none" w:sz="0" w:space="0" w:color="auto"/>
          </w:divBdr>
          <w:divsChild>
            <w:div w:id="956958056">
              <w:marLeft w:val="0"/>
              <w:marRight w:val="0"/>
              <w:marTop w:val="0"/>
              <w:marBottom w:val="0"/>
              <w:divBdr>
                <w:top w:val="none" w:sz="0" w:space="0" w:color="auto"/>
                <w:left w:val="none" w:sz="0" w:space="0" w:color="auto"/>
                <w:bottom w:val="none" w:sz="0" w:space="0" w:color="auto"/>
                <w:right w:val="none" w:sz="0" w:space="0" w:color="auto"/>
              </w:divBdr>
              <w:divsChild>
                <w:div w:id="55711907">
                  <w:marLeft w:val="0"/>
                  <w:marRight w:val="0"/>
                  <w:marTop w:val="0"/>
                  <w:marBottom w:val="0"/>
                  <w:divBdr>
                    <w:top w:val="none" w:sz="0" w:space="0" w:color="auto"/>
                    <w:left w:val="none" w:sz="0" w:space="0" w:color="auto"/>
                    <w:bottom w:val="none" w:sz="0" w:space="0" w:color="auto"/>
                    <w:right w:val="none" w:sz="0" w:space="0" w:color="auto"/>
                  </w:divBdr>
                  <w:divsChild>
                    <w:div w:id="12294187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deralregister.gov/documents/2020/04/09/2020-06074/chemical-data-reporting-extension-of-the-2020-submission-period" TargetMode="External"/><Relationship Id="rId18" Type="http://schemas.openxmlformats.org/officeDocument/2006/relationships/hyperlink" Target="https://carters-ecomm.s3.amazonaws.com/ESG/Restricted+Substance+List.pdf" TargetMode="External"/><Relationship Id="rId26" Type="http://schemas.openxmlformats.org/officeDocument/2006/relationships/hyperlink" Target="https://www.nicnas.gov.au/New-scheme-1-July-2020/aicis-topics/categorise-your-chemical-introduction/aicis-list-of-chemicals-with-high-hazards-for-categorisation"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lawbc.com/regulatory-developments/entry/epa-releases-proposed-rule-intended-to-improve-the-transparency-of-guidance" TargetMode="External"/><Relationship Id="rId34" Type="http://schemas.openxmlformats.org/officeDocument/2006/relationships/hyperlink" Target="https://www.greenpeace.org/malaysia/publication/3349/the-recycling-myth-2-0/" TargetMode="External"/><Relationship Id="rId42"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federalregister.gov/documents/2020/04/09/2020-06076/tsca-chemical-data-reporting-revisions-under-tsca-section-8a" TargetMode="External"/><Relationship Id="rId17" Type="http://schemas.openxmlformats.org/officeDocument/2006/relationships/hyperlink" Target="https://www.atsdr.cdc.gov/ToxProfiles/tp.asp?id=48&amp;tid=15" TargetMode="External"/><Relationship Id="rId25" Type="http://schemas.openxmlformats.org/officeDocument/2006/relationships/hyperlink" Target="https://engage.swa.gov.au/49436/widgets/260877/documents/116791" TargetMode="External"/><Relationship Id="rId33" Type="http://schemas.openxmlformats.org/officeDocument/2006/relationships/hyperlink" Target="https://www.iso.org/standard/72600.html"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atsdr.cdc.gov/SPL/" TargetMode="External"/><Relationship Id="rId20" Type="http://schemas.openxmlformats.org/officeDocument/2006/relationships/hyperlink" Target="https://www.federalregister.gov/documents/2020/05/22/2020-11079/epa-guidance-administrative-procedures-for-issuance-and-public-petitions" TargetMode="External"/><Relationship Id="rId29" Type="http://schemas.openxmlformats.org/officeDocument/2006/relationships/hyperlink" Target="https://www.nicnas.gov.au/New-scheme-1-July-2020/Transitioning-from-NICNAS-to-AICIS"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deralregister.gov/documents/2020/04/01/2020-06791/locatable-minerals" TargetMode="External"/><Relationship Id="rId24" Type="http://schemas.openxmlformats.org/officeDocument/2006/relationships/hyperlink" Target="mailto:WESconsult@swa.gov.au" TargetMode="External"/><Relationship Id="rId32" Type="http://schemas.openxmlformats.org/officeDocument/2006/relationships/hyperlink" Target="https://mining.ca/press-releases/canadians-want-to-seize-opportunity-in-critical-minerals/"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federalregister.gov/documents/2020/05/28/2020-11423/agency-information-collection-activities-proposals-submissions-and-approvals-proposed-substances-to" TargetMode="External"/><Relationship Id="rId23" Type="http://schemas.openxmlformats.org/officeDocument/2006/relationships/hyperlink" Target="https://lnks.gd/l/eyJhbGciOiJIUzI1NiJ9.eyJidWxsZXRpbl9saW5rX2lkIjoxMTIsInVyaSI6ImJwMjpjbGljayIsImJ1bGxldGluX2lkIjoiMjAyMDAzMzAuMTk0ODgzNjEiLCJ1cmwiOiJodHRwczovL3d3dy5oZWFsdGguc3RhdGUubW4udXMvY29tbXVuaXRpZXMvZW52aXJvbm1lbnQvbGVhZC9kb2NzL3NwaW5iYXR0bGV0b3lzLnBkZiJ9.-_e5BaD85prfJv9-CFWq3k2htXbVuUQmaanRgGl0mq4/br/76788826670-l" TargetMode="External"/><Relationship Id="rId28" Type="http://schemas.openxmlformats.org/officeDocument/2006/relationships/hyperlink" Target="https://www.nicnas.gov.au/New-scheme-1-July-2020/ask-a-question-about-the-new-scheme" TargetMode="External"/><Relationship Id="rId36" Type="http://schemas.openxmlformats.org/officeDocument/2006/relationships/hyperlink" Target="mailto:chutton@lawbc.com" TargetMode="External"/><Relationship Id="rId10" Type="http://schemas.openxmlformats.org/officeDocument/2006/relationships/endnotes" Target="endnotes.xml"/><Relationship Id="rId19" Type="http://schemas.openxmlformats.org/officeDocument/2006/relationships/hyperlink" Target="https://www.carters.com/product-stewardship.html" TargetMode="External"/><Relationship Id="rId31" Type="http://schemas.openxmlformats.org/officeDocument/2006/relationships/hyperlink" Target="https://www.minescanada.ca/en/content/action-plan-2020-introducing-pan-canadian-initiatives-march-2020"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bc.com/regulatory-developments/entry/epa-releases-final-amendments-to-cdr-rule-extends-reporting-period" TargetMode="External"/><Relationship Id="rId22" Type="http://schemas.openxmlformats.org/officeDocument/2006/relationships/hyperlink" Target="http://blogs.edf.org/health/2020/04/07/best-practices-for-reducing-cadmium-in-food-new-review-from-fda-scientists/" TargetMode="External"/><Relationship Id="rId27" Type="http://schemas.openxmlformats.org/officeDocument/2006/relationships/hyperlink" Target="https://www.nicnas.gov.au/New-scheme-1-July-2020/aicis-educational-videos" TargetMode="External"/><Relationship Id="rId30" Type="http://schemas.openxmlformats.org/officeDocument/2006/relationships/hyperlink" Target="https://www.canada.ca/en/natural-resources-canada/news/2020/03/canada-drives-forward-on-mining-vision-for-21st-century.html" TargetMode="External"/><Relationship Id="rId35" Type="http://schemas.openxmlformats.org/officeDocument/2006/relationships/hyperlink" Target="mailto:lbergeson@lawbc.com"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17E99241A0F349A3D9C42A215F9F3C" ma:contentTypeVersion="13" ma:contentTypeDescription="Create a new document." ma:contentTypeScope="" ma:versionID="eb2ad8e61487d796e6b0a52b73c4f26f">
  <xsd:schema xmlns:xsd="http://www.w3.org/2001/XMLSchema" xmlns:xs="http://www.w3.org/2001/XMLSchema" xmlns:p="http://schemas.microsoft.com/office/2006/metadata/properties" xmlns:ns3="f0e59803-a18b-4230-9a7b-ed447f565c2a" xmlns:ns4="a8d6d615-f274-45eb-a771-f5a6fe9c8e48" targetNamespace="http://schemas.microsoft.com/office/2006/metadata/properties" ma:root="true" ma:fieldsID="5c38ccb9a13202e99cc658a67fb7820b" ns3:_="" ns4:_="">
    <xsd:import namespace="f0e59803-a18b-4230-9a7b-ed447f565c2a"/>
    <xsd:import namespace="a8d6d615-f274-45eb-a771-f5a6fe9c8e4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59803-a18b-4230-9a7b-ed447f565c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d6d615-f274-45eb-a771-f5a6fe9c8e4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6F4E4-ACC5-458F-BA67-588EFE2E33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4D9A4E-7443-4735-AD2F-294693DFA0C3}">
  <ds:schemaRefs>
    <ds:schemaRef ds:uri="http://schemas.microsoft.com/sharepoint/v3/contenttype/forms"/>
  </ds:schemaRefs>
</ds:datastoreItem>
</file>

<file path=customXml/itemProps3.xml><?xml version="1.0" encoding="utf-8"?>
<ds:datastoreItem xmlns:ds="http://schemas.openxmlformats.org/officeDocument/2006/customXml" ds:itemID="{E4190CDB-5B1C-4E06-B429-87D8D76BF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59803-a18b-4230-9a7b-ed447f565c2a"/>
    <ds:schemaRef ds:uri="a8d6d615-f274-45eb-a771-f5a6fe9c8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4D690B-8B50-48FB-B9E5-8F38A0B1B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4252</Words>
  <Characters>27249</Characters>
  <Application>Microsoft Office Word</Application>
  <DocSecurity>4</DocSecurity>
  <PresentationFormat>14|.DOCX</PresentationFormat>
  <Lines>227</Lines>
  <Paragraphs>62</Paragraphs>
  <ScaleCrop>false</ScaleCrop>
  <HeadingPairs>
    <vt:vector size="2" baseType="variant">
      <vt:variant>
        <vt:lpstr>Title</vt:lpstr>
      </vt:variant>
      <vt:variant>
        <vt:i4>1</vt:i4>
      </vt:variant>
    </vt:vector>
  </HeadingPairs>
  <TitlesOfParts>
    <vt:vector size="1" baseType="lpstr">
      <vt:lpstr>May 2020 Update (00303517).DOCX</vt:lpstr>
    </vt:vector>
  </TitlesOfParts>
  <Company>Bergeson &amp; Campbell, P.C.</Company>
  <LinksUpToDate>false</LinksUpToDate>
  <CharactersWithSpaces>31439</CharactersWithSpaces>
  <SharedDoc>false</SharedDoc>
  <HLinks>
    <vt:vector size="162" baseType="variant">
      <vt:variant>
        <vt:i4>1572923</vt:i4>
      </vt:variant>
      <vt:variant>
        <vt:i4>78</vt:i4>
      </vt:variant>
      <vt:variant>
        <vt:i4>0</vt:i4>
      </vt:variant>
      <vt:variant>
        <vt:i4>5</vt:i4>
      </vt:variant>
      <vt:variant>
        <vt:lpwstr>mailto:chutton@lawbc.com</vt:lpwstr>
      </vt:variant>
      <vt:variant>
        <vt:lpwstr/>
      </vt:variant>
      <vt:variant>
        <vt:i4>6750290</vt:i4>
      </vt:variant>
      <vt:variant>
        <vt:i4>75</vt:i4>
      </vt:variant>
      <vt:variant>
        <vt:i4>0</vt:i4>
      </vt:variant>
      <vt:variant>
        <vt:i4>5</vt:i4>
      </vt:variant>
      <vt:variant>
        <vt:lpwstr>mailto:lbergeson@lawbc.com</vt:lpwstr>
      </vt:variant>
      <vt:variant>
        <vt:lpwstr/>
      </vt:variant>
      <vt:variant>
        <vt:i4>3538996</vt:i4>
      </vt:variant>
      <vt:variant>
        <vt:i4>72</vt:i4>
      </vt:variant>
      <vt:variant>
        <vt:i4>0</vt:i4>
      </vt:variant>
      <vt:variant>
        <vt:i4>5</vt:i4>
      </vt:variant>
      <vt:variant>
        <vt:lpwstr>http://www.gazette.gc.ca/rp-pr/p1/2013/2013-05-25/html/notice-avis-eng.html</vt:lpwstr>
      </vt:variant>
      <vt:variant>
        <vt:lpwstr>d101</vt:lpwstr>
      </vt:variant>
      <vt:variant>
        <vt:i4>1048585</vt:i4>
      </vt:variant>
      <vt:variant>
        <vt:i4>69</vt:i4>
      </vt:variant>
      <vt:variant>
        <vt:i4>0</vt:i4>
      </vt:variant>
      <vt:variant>
        <vt:i4>5</vt:i4>
      </vt:variant>
      <vt:variant>
        <vt:lpwstr>http://www.inspection.gc.ca/about-the-cfia/newsroom/news-releases/2013-05-23/eng/1369240438603/1369240446635</vt:lpwstr>
      </vt:variant>
      <vt:variant>
        <vt:lpwstr/>
      </vt:variant>
      <vt:variant>
        <vt:i4>8192048</vt:i4>
      </vt:variant>
      <vt:variant>
        <vt:i4>66</vt:i4>
      </vt:variant>
      <vt:variant>
        <vt:i4>0</vt:i4>
      </vt:variant>
      <vt:variant>
        <vt:i4>5</vt:i4>
      </vt:variant>
      <vt:variant>
        <vt:lpwstr>http://www.hc-sc.gc.ca/ewh-semt/pubs/contaminants/chms-ecms-cycle2/overview-vue-eng.php</vt:lpwstr>
      </vt:variant>
      <vt:variant>
        <vt:lpwstr/>
      </vt:variant>
      <vt:variant>
        <vt:i4>2359342</vt:i4>
      </vt:variant>
      <vt:variant>
        <vt:i4>63</vt:i4>
      </vt:variant>
      <vt:variant>
        <vt:i4>0</vt:i4>
      </vt:variant>
      <vt:variant>
        <vt:i4>5</vt:i4>
      </vt:variant>
      <vt:variant>
        <vt:lpwstr>http://www.foodsentry.org/preliminary-analysis-of-international-food-safety-violations/</vt:lpwstr>
      </vt:variant>
      <vt:variant>
        <vt:lpwstr/>
      </vt:variant>
      <vt:variant>
        <vt:i4>6291492</vt:i4>
      </vt:variant>
      <vt:variant>
        <vt:i4>60</vt:i4>
      </vt:variant>
      <vt:variant>
        <vt:i4>0</vt:i4>
      </vt:variant>
      <vt:variant>
        <vt:i4>5</vt:i4>
      </vt:variant>
      <vt:variant>
        <vt:lpwstr>http://mindthestore.saferchemicals.org/</vt:lpwstr>
      </vt:variant>
      <vt:variant>
        <vt:lpwstr/>
      </vt:variant>
      <vt:variant>
        <vt:i4>4718670</vt:i4>
      </vt:variant>
      <vt:variant>
        <vt:i4>57</vt:i4>
      </vt:variant>
      <vt:variant>
        <vt:i4>0</vt:i4>
      </vt:variant>
      <vt:variant>
        <vt:i4>5</vt:i4>
      </vt:variant>
      <vt:variant>
        <vt:lpwstr>http://www8.nationalacademies.org/cp/meetingview.aspx?MeetingID=6608&amp;MeetingNo=12</vt:lpwstr>
      </vt:variant>
      <vt:variant>
        <vt:lpwstr/>
      </vt:variant>
      <vt:variant>
        <vt:i4>3866674</vt:i4>
      </vt:variant>
      <vt:variant>
        <vt:i4>54</vt:i4>
      </vt:variant>
      <vt:variant>
        <vt:i4>0</vt:i4>
      </vt:variant>
      <vt:variant>
        <vt:i4>5</vt:i4>
      </vt:variant>
      <vt:variant>
        <vt:lpwstr>http://www.epa.gov/iris/publicmeeting/</vt:lpwstr>
      </vt:variant>
      <vt:variant>
        <vt:lpwstr/>
      </vt:variant>
      <vt:variant>
        <vt:i4>4522011</vt:i4>
      </vt:variant>
      <vt:variant>
        <vt:i4>51</vt:i4>
      </vt:variant>
      <vt:variant>
        <vt:i4>0</vt:i4>
      </vt:variant>
      <vt:variant>
        <vt:i4>5</vt:i4>
      </vt:variant>
      <vt:variant>
        <vt:lpwstr>http://yosemite.epa.gov/sab/sabproduct.nsf/a84bfee16cc358ad85256ccd006b0b4b/1363eb27571284ed85257b0f0062f32b!OpenDocument&amp;Date=2013-04-02</vt:lpwstr>
      </vt:variant>
      <vt:variant>
        <vt:lpwstr/>
      </vt:variant>
      <vt:variant>
        <vt:i4>4849757</vt:i4>
      </vt:variant>
      <vt:variant>
        <vt:i4>48</vt:i4>
      </vt:variant>
      <vt:variant>
        <vt:i4>0</vt:i4>
      </vt:variant>
      <vt:variant>
        <vt:i4>5</vt:i4>
      </vt:variant>
      <vt:variant>
        <vt:lpwstr>http://www.watoxics.org/chemicalsrevealed</vt:lpwstr>
      </vt:variant>
      <vt:variant>
        <vt:lpwstr/>
      </vt:variant>
      <vt:variant>
        <vt:i4>2687083</vt:i4>
      </vt:variant>
      <vt:variant>
        <vt:i4>45</vt:i4>
      </vt:variant>
      <vt:variant>
        <vt:i4>0</vt:i4>
      </vt:variant>
      <vt:variant>
        <vt:i4>5</vt:i4>
      </vt:variant>
      <vt:variant>
        <vt:lpwstr>http://daq.state.nc.us/toxics/risk/sab/</vt:lpwstr>
      </vt:variant>
      <vt:variant>
        <vt:lpwstr/>
      </vt:variant>
      <vt:variant>
        <vt:i4>5242923</vt:i4>
      </vt:variant>
      <vt:variant>
        <vt:i4>42</vt:i4>
      </vt:variant>
      <vt:variant>
        <vt:i4>0</vt:i4>
      </vt:variant>
      <vt:variant>
        <vt:i4>5</vt:i4>
      </vt:variant>
      <vt:variant>
        <vt:lpwstr>http://daq.state.nc.us/toxics/risk/sab/sab_proceedings.shtml</vt:lpwstr>
      </vt:variant>
      <vt:variant>
        <vt:lpwstr/>
      </vt:variant>
      <vt:variant>
        <vt:i4>720911</vt:i4>
      </vt:variant>
      <vt:variant>
        <vt:i4>39</vt:i4>
      </vt:variant>
      <vt:variant>
        <vt:i4>0</vt:i4>
      </vt:variant>
      <vt:variant>
        <vt:i4>5</vt:i4>
      </vt:variant>
      <vt:variant>
        <vt:lpwstr>http://www.nysenate.gov/press-release/senate-passes-bill-protect-children-jewelry-made-harmful-metals</vt:lpwstr>
      </vt:variant>
      <vt:variant>
        <vt:lpwstr/>
      </vt:variant>
      <vt:variant>
        <vt:i4>4980786</vt:i4>
      </vt:variant>
      <vt:variant>
        <vt:i4>36</vt:i4>
      </vt:variant>
      <vt:variant>
        <vt:i4>0</vt:i4>
      </vt:variant>
      <vt:variant>
        <vt:i4>5</vt:i4>
      </vt:variant>
      <vt:variant>
        <vt:lpwstr>http://www.michigan.gov/documents/lara/MR1_020113_410118_7.pdf</vt:lpwstr>
      </vt:variant>
      <vt:variant>
        <vt:lpwstr/>
      </vt:variant>
      <vt:variant>
        <vt:i4>5963862</vt:i4>
      </vt:variant>
      <vt:variant>
        <vt:i4>33</vt:i4>
      </vt:variant>
      <vt:variant>
        <vt:i4>0</vt:i4>
      </vt:variant>
      <vt:variant>
        <vt:i4>5</vt:i4>
      </vt:variant>
      <vt:variant>
        <vt:lpwstr>http://www.malegislature.gov/Events/EventDetail?eventId=605&amp;eventDataSource=Hearings</vt:lpwstr>
      </vt:variant>
      <vt:variant>
        <vt:lpwstr/>
      </vt:variant>
      <vt:variant>
        <vt:i4>458828</vt:i4>
      </vt:variant>
      <vt:variant>
        <vt:i4>30</vt:i4>
      </vt:variant>
      <vt:variant>
        <vt:i4>0</vt:i4>
      </vt:variant>
      <vt:variant>
        <vt:i4>5</vt:i4>
      </vt:variant>
      <vt:variant>
        <vt:lpwstr>http://www.dnrec.delaware.gov/whs/awm/Info/Regs/Pages/AmendSection10.aspx</vt:lpwstr>
      </vt:variant>
      <vt:variant>
        <vt:lpwstr/>
      </vt:variant>
      <vt:variant>
        <vt:i4>262153</vt:i4>
      </vt:variant>
      <vt:variant>
        <vt:i4>27</vt:i4>
      </vt:variant>
      <vt:variant>
        <vt:i4>0</vt:i4>
      </vt:variant>
      <vt:variant>
        <vt:i4>5</vt:i4>
      </vt:variant>
      <vt:variant>
        <vt:lpwstr>http://www.dtsc.ca.gov/LawsRegsPolicies/Regs/SCPA.cfm</vt:lpwstr>
      </vt:variant>
      <vt:variant>
        <vt:lpwstr/>
      </vt:variant>
      <vt:variant>
        <vt:i4>6226011</vt:i4>
      </vt:variant>
      <vt:variant>
        <vt:i4>24</vt:i4>
      </vt:variant>
      <vt:variant>
        <vt:i4>0</vt:i4>
      </vt:variant>
      <vt:variant>
        <vt:i4>5</vt:i4>
      </vt:variant>
      <vt:variant>
        <vt:lpwstr>http://www.dtsc.ca.gov/SCPRegulations.cfm</vt:lpwstr>
      </vt:variant>
      <vt:variant>
        <vt:lpwstr/>
      </vt:variant>
      <vt:variant>
        <vt:i4>3604584</vt:i4>
      </vt:variant>
      <vt:variant>
        <vt:i4>21</vt:i4>
      </vt:variant>
      <vt:variant>
        <vt:i4>0</vt:i4>
      </vt:variant>
      <vt:variant>
        <vt:i4>5</vt:i4>
      </vt:variant>
      <vt:variant>
        <vt:lpwstr>http://www.lawbc.com/regulatory-developments/entry/dtsc-releases-revised-proposed-safer-consumer-products-regulations1</vt:lpwstr>
      </vt:variant>
      <vt:variant>
        <vt:lpwstr/>
      </vt:variant>
      <vt:variant>
        <vt:i4>7536683</vt:i4>
      </vt:variant>
      <vt:variant>
        <vt:i4>18</vt:i4>
      </vt:variant>
      <vt:variant>
        <vt:i4>0</vt:i4>
      </vt:variant>
      <vt:variant>
        <vt:i4>5</vt:i4>
      </vt:variant>
      <vt:variant>
        <vt:lpwstr>http://www.lawbc.com/regulatory-developments/entry/the-chemical-safety-improvement-act-an-in-depth-review-and-analysis</vt:lpwstr>
      </vt:variant>
      <vt:variant>
        <vt:lpwstr/>
      </vt:variant>
      <vt:variant>
        <vt:i4>3866749</vt:i4>
      </vt:variant>
      <vt:variant>
        <vt:i4>15</vt:i4>
      </vt:variant>
      <vt:variant>
        <vt:i4>0</vt:i4>
      </vt:variant>
      <vt:variant>
        <vt:i4>5</vt:i4>
      </vt:variant>
      <vt:variant>
        <vt:lpwstr>http://www.lautenberg.senate.gov/newsroom/record.cfm?id=342861&amp;</vt:lpwstr>
      </vt:variant>
      <vt:variant>
        <vt:lpwstr/>
      </vt:variant>
      <vt:variant>
        <vt:i4>3801201</vt:i4>
      </vt:variant>
      <vt:variant>
        <vt:i4>12</vt:i4>
      </vt:variant>
      <vt:variant>
        <vt:i4>0</vt:i4>
      </vt:variant>
      <vt:variant>
        <vt:i4>5</vt:i4>
      </vt:variant>
      <vt:variant>
        <vt:lpwstr>http://www.lawbc.com/regulatory-developments/entry/gao-finds-epa-could-improve-its-assessment-and-control-of-chemicals/</vt:lpwstr>
      </vt:variant>
      <vt:variant>
        <vt:lpwstr/>
      </vt:variant>
      <vt:variant>
        <vt:i4>7798905</vt:i4>
      </vt:variant>
      <vt:variant>
        <vt:i4>9</vt:i4>
      </vt:variant>
      <vt:variant>
        <vt:i4>0</vt:i4>
      </vt:variant>
      <vt:variant>
        <vt:i4>5</vt:i4>
      </vt:variant>
      <vt:variant>
        <vt:lpwstr>http://www.gao.gov/products/GAO-13-249</vt:lpwstr>
      </vt:variant>
      <vt:variant>
        <vt:lpwstr/>
      </vt:variant>
      <vt:variant>
        <vt:i4>2621563</vt:i4>
      </vt:variant>
      <vt:variant>
        <vt:i4>6</vt:i4>
      </vt:variant>
      <vt:variant>
        <vt:i4>0</vt:i4>
      </vt:variant>
      <vt:variant>
        <vt:i4>5</vt:i4>
      </vt:variant>
      <vt:variant>
        <vt:lpwstr>http://www.lawbc.com/regulatory-developments/entry/safe-chemicals-act-of-2013-lautenberg-reintroduces-tsca-reform-legislation/</vt:lpwstr>
      </vt:variant>
      <vt:variant>
        <vt:lpwstr/>
      </vt:variant>
      <vt:variant>
        <vt:i4>2818162</vt:i4>
      </vt:variant>
      <vt:variant>
        <vt:i4>3</vt:i4>
      </vt:variant>
      <vt:variant>
        <vt:i4>0</vt:i4>
      </vt:variant>
      <vt:variant>
        <vt:i4>5</vt:i4>
      </vt:variant>
      <vt:variant>
        <vt:lpwstr>http://www.chemicalright2know.org/2013-webinars/spring-2013-webinar</vt:lpwstr>
      </vt:variant>
      <vt:variant>
        <vt:lpwstr/>
      </vt:variant>
      <vt:variant>
        <vt:i4>4259921</vt:i4>
      </vt:variant>
      <vt:variant>
        <vt:i4>0</vt:i4>
      </vt:variant>
      <vt:variant>
        <vt:i4>0</vt:i4>
      </vt:variant>
      <vt:variant>
        <vt:i4>5</vt:i4>
      </vt:variant>
      <vt:variant>
        <vt:lpwstr>http://www.epa.gov/tri/P2/index.html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2020 Update (00303517).DOCX</dc:title>
  <dc:subject>01002.001 / 111 / 00303517.DOCX</dc:subject>
  <dc:creator>Barbara Christianson</dc:creator>
  <cp:keywords/>
  <dc:description/>
  <cp:lastModifiedBy>Annette Mutombo</cp:lastModifiedBy>
  <cp:revision>2</cp:revision>
  <cp:lastPrinted>2020-05-28T19:01:00Z</cp:lastPrinted>
  <dcterms:created xsi:type="dcterms:W3CDTF">2020-06-09T11:55:00Z</dcterms:created>
  <dcterms:modified xsi:type="dcterms:W3CDTF">2020-06-09T11:55:00Z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5/28/2020 5:56:16 PM</vt:lpwstr>
  </property>
  <property fmtid="{D5CDD505-2E9C-101B-9397-08002B2CF9AE}" pid="3" name="ContentTypeId">
    <vt:lpwstr>0x0101002017E99241A0F349A3D9C42A215F9F3C</vt:lpwstr>
  </property>
</Properties>
</file>