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76" w:rsidRPr="00592B91" w:rsidRDefault="005B6704" w:rsidP="009408F2">
      <w:pPr>
        <w:pStyle w:val="Heading4"/>
        <w:keepNext w:val="0"/>
        <w:spacing w:before="0" w:after="0"/>
        <w:jc w:val="center"/>
        <w:rPr>
          <w:rFonts w:ascii="Times New Roman Bold" w:hAnsi="Times New Roman Bold"/>
          <w:color w:val="000000"/>
        </w:rPr>
      </w:pPr>
      <w:r w:rsidRPr="00592B91">
        <w:rPr>
          <w:rStyle w:val="MessageHeaderLabel"/>
          <w:rFonts w:ascii="Times New Roman Bold" w:hAnsi="Times New Roman Bold"/>
          <w:sz w:val="24"/>
        </w:rPr>
        <w:t>THE INTERNATIONAL CADMIUM ASSOCIATION</w:t>
      </w:r>
    </w:p>
    <w:p w:rsidR="00C86C76" w:rsidRPr="00592B91" w:rsidRDefault="005B6704" w:rsidP="009408F2">
      <w:pPr>
        <w:jc w:val="center"/>
        <w:rPr>
          <w:b/>
          <w:color w:val="000000"/>
        </w:rPr>
      </w:pPr>
      <w:r w:rsidRPr="00592B91">
        <w:rPr>
          <w:b/>
          <w:color w:val="000000"/>
        </w:rPr>
        <w:t>REGULATORY UPDATE</w:t>
      </w:r>
    </w:p>
    <w:p w:rsidR="00C86C76" w:rsidRPr="00592B91" w:rsidRDefault="00C86C76" w:rsidP="009408F2">
      <w:pPr>
        <w:rPr>
          <w:color w:val="000000"/>
        </w:rPr>
      </w:pPr>
    </w:p>
    <w:p w:rsidR="00C86C76" w:rsidRPr="00592B91" w:rsidRDefault="00CE0E96" w:rsidP="009408F2">
      <w:pPr>
        <w:jc w:val="center"/>
        <w:rPr>
          <w:b/>
          <w:color w:val="000000"/>
        </w:rPr>
      </w:pPr>
      <w:r w:rsidRPr="00592B91">
        <w:rPr>
          <w:b/>
          <w:color w:val="000000"/>
        </w:rPr>
        <w:t>September</w:t>
      </w:r>
      <w:r w:rsidR="005B6704" w:rsidRPr="00592B91">
        <w:rPr>
          <w:b/>
          <w:color w:val="000000"/>
        </w:rPr>
        <w:t xml:space="preserve"> 28, 2016</w:t>
      </w:r>
      <w:r w:rsidR="005B6704" w:rsidRPr="00592B91">
        <w:rPr>
          <w:rStyle w:val="FootnoteReference"/>
          <w:vertAlign w:val="superscript"/>
        </w:rPr>
        <w:footnoteReference w:id="1"/>
      </w:r>
    </w:p>
    <w:p w:rsidR="00C86C76" w:rsidRPr="00592B91" w:rsidRDefault="005B6704" w:rsidP="009408F2">
      <w:pPr>
        <w:rPr>
          <w:color w:val="000000"/>
        </w:rPr>
      </w:pPr>
      <w:r w:rsidRPr="00592B91">
        <w:rPr>
          <w:color w:val="000000"/>
        </w:rPr>
        <w:t xml:space="preserve">______________________________________________________________________________  </w:t>
      </w:r>
    </w:p>
    <w:p w:rsidR="00C86C76" w:rsidRPr="00592B91" w:rsidRDefault="00C86C76" w:rsidP="009408F2"/>
    <w:p w:rsidR="00C86C76" w:rsidRPr="00592B91" w:rsidRDefault="005B6704" w:rsidP="009408F2">
      <w:pPr>
        <w:pStyle w:val="Heading1"/>
        <w:keepNext w:val="0"/>
      </w:pPr>
      <w:r w:rsidRPr="00592B91">
        <w:t>NEW DEVELOPMENTS</w:t>
      </w:r>
    </w:p>
    <w:p w:rsidR="00C86C76" w:rsidRPr="00592B91" w:rsidRDefault="00C86C76" w:rsidP="009408F2"/>
    <w:p w:rsidR="00C86C76" w:rsidRPr="00592B91" w:rsidRDefault="005B6704" w:rsidP="009408F2">
      <w:r w:rsidRPr="00592B91">
        <w:t>New information is available on the following issues in this Update:</w:t>
      </w:r>
    </w:p>
    <w:p w:rsidR="00C86C76" w:rsidRPr="00592B91" w:rsidRDefault="00C86C76" w:rsidP="009408F2">
      <w:pPr>
        <w:pStyle w:val="NormalWeb"/>
        <w:widowControl w:val="0"/>
        <w:spacing w:before="0" w:beforeAutospacing="0" w:after="0" w:afterAutospacing="0"/>
        <w:jc w:val="both"/>
        <w:rPr>
          <w:rFonts w:ascii="Times New Roman" w:hAnsi="Times New Roman" w:cs="Times New Roman"/>
        </w:rPr>
      </w:pPr>
    </w:p>
    <w:p w:rsidR="005E07E8" w:rsidRPr="00CE324C" w:rsidRDefault="009408F2" w:rsidP="009408F2">
      <w:pPr>
        <w:pStyle w:val="NormalWeb"/>
        <w:spacing w:before="0" w:beforeAutospacing="0" w:after="0" w:afterAutospacing="0"/>
        <w:ind w:left="720"/>
        <w:jc w:val="both"/>
        <w:rPr>
          <w:rFonts w:ascii="Times New Roman" w:hAnsi="Times New Roman" w:cs="Times New Roman"/>
        </w:rPr>
      </w:pPr>
      <w:r w:rsidRPr="00CE324C">
        <w:rPr>
          <w:rFonts w:ascii="Times New Roman" w:hAnsi="Times New Roman" w:cs="Times New Roman"/>
        </w:rPr>
        <w:t>Federal Issues</w:t>
      </w:r>
    </w:p>
    <w:p w:rsidR="005E07E8" w:rsidRPr="00CE324C" w:rsidRDefault="005E07E8" w:rsidP="009408F2">
      <w:pPr>
        <w:pStyle w:val="BodyText"/>
        <w:spacing w:after="0"/>
        <w:ind w:left="720"/>
        <w:jc w:val="both"/>
      </w:pPr>
    </w:p>
    <w:p w:rsidR="005E07E8" w:rsidRPr="00CE324C" w:rsidRDefault="005E07E8" w:rsidP="009408F2">
      <w:pPr>
        <w:widowControl/>
        <w:ind w:left="1440"/>
      </w:pPr>
      <w:r w:rsidRPr="00CE324C">
        <w:t xml:space="preserve">CERCLA </w:t>
      </w:r>
      <w:r w:rsidR="009408F2" w:rsidRPr="00CE324C">
        <w:t>Issues</w:t>
      </w:r>
    </w:p>
    <w:p w:rsidR="005E07E8" w:rsidRPr="00CE324C" w:rsidRDefault="005E07E8" w:rsidP="009408F2">
      <w:pPr>
        <w:widowControl/>
        <w:ind w:left="1440"/>
      </w:pPr>
    </w:p>
    <w:p w:rsidR="005E07E8" w:rsidRPr="00CE324C" w:rsidRDefault="005E07E8" w:rsidP="009408F2">
      <w:pPr>
        <w:ind w:left="2160"/>
      </w:pPr>
      <w:r w:rsidRPr="00FF29FC">
        <w:rPr>
          <w:highlight w:val="yellow"/>
        </w:rPr>
        <w:t xml:space="preserve">Surety &amp; Fidelity Association, Congress Express Concerns </w:t>
      </w:r>
      <w:proofErr w:type="gramStart"/>
      <w:r w:rsidRPr="00FF29FC">
        <w:rPr>
          <w:highlight w:val="yellow"/>
        </w:rPr>
        <w:t>With</w:t>
      </w:r>
      <w:proofErr w:type="gramEnd"/>
      <w:r w:rsidRPr="00FF29FC">
        <w:rPr>
          <w:highlight w:val="yellow"/>
        </w:rPr>
        <w:t xml:space="preserve"> EPA’s Rulemaking Concerning Financial Responsibility Requirements For </w:t>
      </w:r>
      <w:proofErr w:type="spellStart"/>
      <w:r w:rsidRPr="00FF29FC">
        <w:rPr>
          <w:highlight w:val="yellow"/>
        </w:rPr>
        <w:t>Hardrock</w:t>
      </w:r>
      <w:proofErr w:type="spellEnd"/>
      <w:r w:rsidRPr="00FF29FC">
        <w:rPr>
          <w:highlight w:val="yellow"/>
        </w:rPr>
        <w:t xml:space="preserve"> Mines</w:t>
      </w:r>
      <w:r w:rsidR="009408F2">
        <w:t xml:space="preserve">, page </w:t>
      </w:r>
      <w:r w:rsidR="00904F51">
        <w:t>4</w:t>
      </w:r>
    </w:p>
    <w:p w:rsidR="005E07E8" w:rsidRPr="00CE324C" w:rsidRDefault="005E07E8" w:rsidP="009408F2">
      <w:pPr>
        <w:ind w:left="2160"/>
      </w:pPr>
    </w:p>
    <w:p w:rsidR="005E07E8" w:rsidRPr="00CE324C" w:rsidRDefault="005E07E8" w:rsidP="009408F2">
      <w:pPr>
        <w:widowControl/>
        <w:autoSpaceDE/>
        <w:autoSpaceDN/>
        <w:adjustRightInd/>
        <w:ind w:left="2160"/>
      </w:pPr>
      <w:r w:rsidRPr="00CE324C">
        <w:t xml:space="preserve">Sites Added </w:t>
      </w:r>
      <w:proofErr w:type="gramStart"/>
      <w:r w:rsidRPr="00CE324C">
        <w:t>To</w:t>
      </w:r>
      <w:proofErr w:type="gramEnd"/>
      <w:r w:rsidRPr="00CE324C">
        <w:t xml:space="preserve"> NPL Include Bonita Peak Mining District</w:t>
      </w:r>
      <w:r w:rsidR="009408F2">
        <w:t xml:space="preserve">, page </w:t>
      </w:r>
      <w:r w:rsidR="00904F51">
        <w:t>5</w:t>
      </w:r>
    </w:p>
    <w:p w:rsidR="005E07E8" w:rsidRPr="00CE324C" w:rsidRDefault="005E07E8" w:rsidP="009408F2">
      <w:pPr>
        <w:widowControl/>
        <w:autoSpaceDE/>
        <w:autoSpaceDN/>
        <w:adjustRightInd/>
        <w:ind w:left="1440"/>
      </w:pPr>
    </w:p>
    <w:p w:rsidR="005E07E8" w:rsidRPr="00CE324C" w:rsidRDefault="005E07E8" w:rsidP="009408F2">
      <w:pPr>
        <w:widowControl/>
        <w:ind w:left="1440"/>
      </w:pPr>
      <w:r w:rsidRPr="00CE324C">
        <w:t xml:space="preserve">TSCA </w:t>
      </w:r>
      <w:r w:rsidR="009408F2" w:rsidRPr="00CE324C">
        <w:t>Issues</w:t>
      </w:r>
    </w:p>
    <w:p w:rsidR="005E07E8" w:rsidRPr="00CE324C" w:rsidRDefault="005E07E8" w:rsidP="009408F2">
      <w:pPr>
        <w:widowControl/>
        <w:ind w:left="1440"/>
      </w:pPr>
    </w:p>
    <w:p w:rsidR="005E07E8" w:rsidRPr="00CE324C" w:rsidRDefault="005E07E8" w:rsidP="009408F2">
      <w:pPr>
        <w:widowControl/>
        <w:ind w:left="2160"/>
      </w:pPr>
      <w:r w:rsidRPr="00FF29FC">
        <w:rPr>
          <w:highlight w:val="yellow"/>
        </w:rPr>
        <w:t xml:space="preserve">NGO Coalition Urges EPA </w:t>
      </w:r>
      <w:proofErr w:type="gramStart"/>
      <w:r w:rsidRPr="00FF29FC">
        <w:rPr>
          <w:highlight w:val="yellow"/>
        </w:rPr>
        <w:t>To Select Cadmium And Cadmium Compounds For</w:t>
      </w:r>
      <w:proofErr w:type="gramEnd"/>
      <w:r w:rsidRPr="00FF29FC">
        <w:rPr>
          <w:highlight w:val="yellow"/>
        </w:rPr>
        <w:t xml:space="preserve"> Review</w:t>
      </w:r>
      <w:r w:rsidR="009408F2">
        <w:t xml:space="preserve">, page </w:t>
      </w:r>
      <w:r w:rsidR="00904F51">
        <w:t>6</w:t>
      </w:r>
    </w:p>
    <w:p w:rsidR="005E07E8" w:rsidRPr="00CE324C" w:rsidRDefault="005E07E8" w:rsidP="009408F2">
      <w:pPr>
        <w:widowControl/>
        <w:ind w:left="2160"/>
      </w:pPr>
    </w:p>
    <w:p w:rsidR="005E07E8" w:rsidRPr="00CE324C" w:rsidRDefault="005E07E8" w:rsidP="009408F2">
      <w:pPr>
        <w:ind w:left="2160"/>
      </w:pPr>
      <w:r w:rsidRPr="00CE324C">
        <w:t xml:space="preserve">EPA Seeks Nominations </w:t>
      </w:r>
      <w:proofErr w:type="gramStart"/>
      <w:r w:rsidRPr="00CE324C">
        <w:t>For Science Advisory Committee On</w:t>
      </w:r>
      <w:proofErr w:type="gramEnd"/>
      <w:r w:rsidRPr="00CE324C">
        <w:t xml:space="preserve"> Chemicals</w:t>
      </w:r>
      <w:r w:rsidR="009408F2">
        <w:t xml:space="preserve">, page </w:t>
      </w:r>
      <w:r w:rsidR="00904F51">
        <w:t>6</w:t>
      </w:r>
    </w:p>
    <w:p w:rsidR="005E07E8" w:rsidRPr="00CE324C" w:rsidRDefault="005E07E8" w:rsidP="009408F2">
      <w:pPr>
        <w:ind w:left="2160"/>
      </w:pPr>
    </w:p>
    <w:p w:rsidR="005E07E8" w:rsidRPr="00CE324C" w:rsidRDefault="005E07E8" w:rsidP="009408F2">
      <w:pPr>
        <w:ind w:left="2160"/>
      </w:pPr>
      <w:r w:rsidRPr="00CE324C">
        <w:t xml:space="preserve">NIH Will Investigate Environmental Influences </w:t>
      </w:r>
      <w:proofErr w:type="gramStart"/>
      <w:r w:rsidRPr="00CE324C">
        <w:t>On</w:t>
      </w:r>
      <w:proofErr w:type="gramEnd"/>
      <w:r w:rsidRPr="00CE324C">
        <w:t xml:space="preserve"> Child Health</w:t>
      </w:r>
      <w:r w:rsidR="009408F2">
        <w:t xml:space="preserve">, page </w:t>
      </w:r>
      <w:r w:rsidR="00904F51">
        <w:t>6</w:t>
      </w:r>
    </w:p>
    <w:p w:rsidR="005E07E8" w:rsidRPr="00CE324C" w:rsidRDefault="005E07E8" w:rsidP="009408F2">
      <w:pPr>
        <w:ind w:left="1440"/>
      </w:pPr>
    </w:p>
    <w:p w:rsidR="005E07E8" w:rsidRPr="00CE324C" w:rsidRDefault="009408F2" w:rsidP="009408F2">
      <w:pPr>
        <w:ind w:left="1440"/>
      </w:pPr>
      <w:r w:rsidRPr="00CE324C">
        <w:t xml:space="preserve">Mining </w:t>
      </w:r>
      <w:proofErr w:type="gramStart"/>
      <w:r w:rsidRPr="00CE324C">
        <w:t>And</w:t>
      </w:r>
      <w:proofErr w:type="gramEnd"/>
      <w:r w:rsidRPr="00CE324C">
        <w:t xml:space="preserve"> Mineral Issues</w:t>
      </w:r>
    </w:p>
    <w:p w:rsidR="005E07E8" w:rsidRPr="00CE324C" w:rsidRDefault="005E07E8" w:rsidP="009408F2">
      <w:pPr>
        <w:ind w:left="1440"/>
      </w:pPr>
    </w:p>
    <w:p w:rsidR="005E07E8" w:rsidRPr="00CE324C" w:rsidRDefault="005E07E8" w:rsidP="009408F2">
      <w:pPr>
        <w:ind w:left="2160"/>
      </w:pPr>
      <w:r w:rsidRPr="00CE324C">
        <w:t>Financial CHOICE Act Would Repeal Rules Requiring Disclosures Concerning Conflict Minerals, Mine Safety, And Extractive Industries</w:t>
      </w:r>
      <w:r w:rsidR="009408F2">
        <w:t xml:space="preserve">, page </w:t>
      </w:r>
      <w:r w:rsidR="00904F51">
        <w:t>7</w:t>
      </w:r>
    </w:p>
    <w:p w:rsidR="005E07E8" w:rsidRPr="00CE324C" w:rsidRDefault="005E07E8" w:rsidP="009408F2">
      <w:pPr>
        <w:ind w:left="2160"/>
      </w:pPr>
    </w:p>
    <w:p w:rsidR="005E07E8" w:rsidRPr="00CE324C" w:rsidRDefault="005E07E8" w:rsidP="002A052A">
      <w:pPr>
        <w:keepNext/>
        <w:keepLines/>
        <w:widowControl/>
        <w:ind w:left="2160"/>
      </w:pPr>
      <w:r w:rsidRPr="00CE324C">
        <w:lastRenderedPageBreak/>
        <w:t>Gold King Mine Spill</w:t>
      </w:r>
    </w:p>
    <w:p w:rsidR="005E07E8" w:rsidRPr="00CE324C" w:rsidRDefault="005E07E8" w:rsidP="002A052A">
      <w:pPr>
        <w:keepNext/>
        <w:keepLines/>
        <w:widowControl/>
        <w:ind w:left="1440"/>
      </w:pPr>
    </w:p>
    <w:p w:rsidR="005E07E8" w:rsidRPr="009408F2" w:rsidRDefault="005E07E8" w:rsidP="009408F2">
      <w:pPr>
        <w:widowControl/>
        <w:ind w:left="2880"/>
      </w:pPr>
      <w:r w:rsidRPr="00CE324C">
        <w:rPr>
          <w:i/>
        </w:rPr>
        <w:t xml:space="preserve">OIG Pauses Program Evaluation </w:t>
      </w:r>
      <w:proofErr w:type="gramStart"/>
      <w:r w:rsidRPr="00CE324C">
        <w:rPr>
          <w:i/>
        </w:rPr>
        <w:t>Of</w:t>
      </w:r>
      <w:proofErr w:type="gramEnd"/>
      <w:r w:rsidRPr="00CE324C">
        <w:rPr>
          <w:i/>
        </w:rPr>
        <w:t xml:space="preserve"> Gold King Mine Spill, Continues Criminal Investigation</w:t>
      </w:r>
      <w:r w:rsidR="009408F2">
        <w:t xml:space="preserve">, page </w:t>
      </w:r>
      <w:r w:rsidR="00904F51">
        <w:t>7</w:t>
      </w:r>
    </w:p>
    <w:p w:rsidR="005E07E8" w:rsidRPr="00CE324C" w:rsidRDefault="005E07E8" w:rsidP="009408F2">
      <w:pPr>
        <w:widowControl/>
        <w:ind w:left="2880"/>
      </w:pPr>
    </w:p>
    <w:p w:rsidR="005E07E8" w:rsidRPr="009408F2" w:rsidRDefault="005E07E8" w:rsidP="009408F2">
      <w:pPr>
        <w:ind w:left="2880"/>
      </w:pPr>
      <w:r w:rsidRPr="00CE324C">
        <w:rPr>
          <w:i/>
        </w:rPr>
        <w:t xml:space="preserve">EPA Publishes Report </w:t>
      </w:r>
      <w:proofErr w:type="gramStart"/>
      <w:r w:rsidRPr="00CE324C">
        <w:rPr>
          <w:i/>
        </w:rPr>
        <w:t>On Efforts To Restore And</w:t>
      </w:r>
      <w:proofErr w:type="gramEnd"/>
      <w:r w:rsidRPr="00CE324C">
        <w:rPr>
          <w:i/>
        </w:rPr>
        <w:t xml:space="preserve"> Protect Impacted Communities</w:t>
      </w:r>
      <w:r w:rsidR="009408F2">
        <w:t xml:space="preserve">, page </w:t>
      </w:r>
      <w:r w:rsidR="00904F51">
        <w:t>7</w:t>
      </w:r>
    </w:p>
    <w:p w:rsidR="005E07E8" w:rsidRPr="00CE324C" w:rsidRDefault="005E07E8" w:rsidP="009408F2">
      <w:pPr>
        <w:ind w:left="2880"/>
      </w:pPr>
    </w:p>
    <w:p w:rsidR="005E07E8" w:rsidRPr="009408F2" w:rsidRDefault="005E07E8" w:rsidP="009408F2">
      <w:pPr>
        <w:ind w:left="2880"/>
      </w:pPr>
      <w:r w:rsidRPr="00CE324C">
        <w:rPr>
          <w:i/>
        </w:rPr>
        <w:t xml:space="preserve">EPA Provides $602,000 To Navajo Nation Government </w:t>
      </w:r>
      <w:proofErr w:type="gramStart"/>
      <w:r w:rsidRPr="00CE324C">
        <w:rPr>
          <w:i/>
        </w:rPr>
        <w:t>For</w:t>
      </w:r>
      <w:proofErr w:type="gramEnd"/>
      <w:r w:rsidRPr="00CE324C">
        <w:rPr>
          <w:i/>
        </w:rPr>
        <w:t xml:space="preserve"> Gold King Mine Response Costs</w:t>
      </w:r>
      <w:r w:rsidR="009408F2">
        <w:t xml:space="preserve">, page </w:t>
      </w:r>
      <w:r w:rsidR="00904F51">
        <w:t>8</w:t>
      </w:r>
    </w:p>
    <w:p w:rsidR="005E07E8" w:rsidRPr="00CE324C" w:rsidRDefault="005E07E8" w:rsidP="009408F2">
      <w:pPr>
        <w:ind w:left="2880"/>
      </w:pPr>
    </w:p>
    <w:p w:rsidR="005E07E8" w:rsidRPr="009408F2" w:rsidRDefault="005E07E8" w:rsidP="009408F2">
      <w:pPr>
        <w:ind w:left="2880"/>
      </w:pPr>
      <w:r w:rsidRPr="00CE324C">
        <w:rPr>
          <w:i/>
        </w:rPr>
        <w:t xml:space="preserve">Navajo Nation Files Suit </w:t>
      </w:r>
      <w:proofErr w:type="gramStart"/>
      <w:r w:rsidRPr="00CE324C">
        <w:rPr>
          <w:i/>
        </w:rPr>
        <w:t>Against EPA And</w:t>
      </w:r>
      <w:proofErr w:type="gramEnd"/>
      <w:r w:rsidRPr="00CE324C">
        <w:rPr>
          <w:i/>
        </w:rPr>
        <w:t xml:space="preserve"> Other Co-Defendants</w:t>
      </w:r>
      <w:r w:rsidR="009408F2">
        <w:t xml:space="preserve">, page </w:t>
      </w:r>
      <w:r w:rsidR="00904F51">
        <w:t>8</w:t>
      </w:r>
    </w:p>
    <w:p w:rsidR="005E07E8" w:rsidRPr="00CE324C" w:rsidRDefault="005E07E8" w:rsidP="009408F2">
      <w:pPr>
        <w:ind w:left="1440"/>
      </w:pPr>
    </w:p>
    <w:p w:rsidR="005E07E8" w:rsidRPr="00CE324C" w:rsidRDefault="009408F2" w:rsidP="009408F2">
      <w:pPr>
        <w:widowControl/>
        <w:ind w:left="1440"/>
      </w:pPr>
      <w:r w:rsidRPr="00CE324C">
        <w:t>Miscellaneous Issues</w:t>
      </w:r>
    </w:p>
    <w:p w:rsidR="005E07E8" w:rsidRPr="00CE324C" w:rsidRDefault="005E07E8" w:rsidP="009408F2">
      <w:pPr>
        <w:ind w:left="1440"/>
      </w:pPr>
    </w:p>
    <w:p w:rsidR="005E07E8" w:rsidRPr="00CE324C" w:rsidRDefault="005E07E8" w:rsidP="009408F2">
      <w:pPr>
        <w:tabs>
          <w:tab w:val="left" w:pos="1950"/>
        </w:tabs>
        <w:ind w:left="2160"/>
      </w:pPr>
      <w:r w:rsidRPr="00E17288">
        <w:rPr>
          <w:highlight w:val="yellow"/>
        </w:rPr>
        <w:t xml:space="preserve">OSHA </w:t>
      </w:r>
      <w:proofErr w:type="gramStart"/>
      <w:r w:rsidRPr="00E17288">
        <w:rPr>
          <w:highlight w:val="yellow"/>
        </w:rPr>
        <w:t>And HC Plan To Align Labeling And Classification Requirements For</w:t>
      </w:r>
      <w:proofErr w:type="gramEnd"/>
      <w:r w:rsidRPr="00E17288">
        <w:rPr>
          <w:highlight w:val="yellow"/>
        </w:rPr>
        <w:t xml:space="preserve"> Hazardous Workplace Chemicals</w:t>
      </w:r>
      <w:r w:rsidR="009408F2">
        <w:t xml:space="preserve">, page </w:t>
      </w:r>
      <w:r w:rsidR="00904F51">
        <w:t>8</w:t>
      </w:r>
    </w:p>
    <w:p w:rsidR="005E07E8" w:rsidRPr="00CE324C" w:rsidRDefault="005E07E8" w:rsidP="009408F2">
      <w:pPr>
        <w:tabs>
          <w:tab w:val="left" w:pos="1950"/>
        </w:tabs>
        <w:ind w:left="1440"/>
      </w:pPr>
    </w:p>
    <w:p w:rsidR="005E07E8" w:rsidRPr="00CE324C" w:rsidRDefault="009408F2" w:rsidP="009408F2">
      <w:pPr>
        <w:widowControl/>
        <w:ind w:left="720"/>
      </w:pPr>
      <w:r w:rsidRPr="00CE324C">
        <w:t>State Issues</w:t>
      </w:r>
    </w:p>
    <w:p w:rsidR="005E07E8" w:rsidRPr="00CE324C" w:rsidRDefault="005E07E8" w:rsidP="009408F2">
      <w:pPr>
        <w:widowControl/>
        <w:ind w:left="720"/>
        <w:rPr>
          <w:color w:val="000000"/>
        </w:rPr>
      </w:pPr>
    </w:p>
    <w:p w:rsidR="005E07E8" w:rsidRPr="00CE324C" w:rsidRDefault="005E07E8" w:rsidP="009408F2">
      <w:pPr>
        <w:widowControl/>
        <w:ind w:left="1440"/>
        <w:rPr>
          <w:i/>
        </w:rPr>
      </w:pPr>
      <w:r w:rsidRPr="00CE324C">
        <w:rPr>
          <w:i/>
        </w:rPr>
        <w:t>California</w:t>
      </w:r>
    </w:p>
    <w:p w:rsidR="005E07E8" w:rsidRPr="00CE324C" w:rsidRDefault="005E07E8" w:rsidP="009408F2">
      <w:pPr>
        <w:widowControl/>
        <w:ind w:left="1440"/>
      </w:pPr>
    </w:p>
    <w:p w:rsidR="005E07E8" w:rsidRPr="00CE324C" w:rsidRDefault="005E07E8" w:rsidP="009408F2">
      <w:pPr>
        <w:ind w:left="2160"/>
      </w:pPr>
      <w:r w:rsidRPr="00CE324C">
        <w:t xml:space="preserve">Amendments </w:t>
      </w:r>
      <w:proofErr w:type="gramStart"/>
      <w:r w:rsidRPr="00CE324C">
        <w:t>To Clear And</w:t>
      </w:r>
      <w:proofErr w:type="gramEnd"/>
      <w:r w:rsidRPr="00CE324C">
        <w:t xml:space="preserve"> Reasonable Warnings Regulation Will Be Effective August 30, 2018</w:t>
      </w:r>
      <w:r w:rsidR="009408F2">
        <w:t xml:space="preserve">, page </w:t>
      </w:r>
      <w:r w:rsidR="00904F51">
        <w:t>9</w:t>
      </w:r>
    </w:p>
    <w:p w:rsidR="005E07E8" w:rsidRPr="00CE324C" w:rsidRDefault="005E07E8" w:rsidP="009408F2">
      <w:pPr>
        <w:ind w:left="1440"/>
      </w:pPr>
    </w:p>
    <w:p w:rsidR="005E07E8" w:rsidRPr="00CE324C" w:rsidRDefault="005E07E8" w:rsidP="009408F2">
      <w:pPr>
        <w:ind w:left="1440"/>
        <w:rPr>
          <w:i/>
        </w:rPr>
      </w:pPr>
      <w:r w:rsidRPr="00CE324C">
        <w:rPr>
          <w:i/>
        </w:rPr>
        <w:t>Maine</w:t>
      </w:r>
    </w:p>
    <w:p w:rsidR="005E07E8" w:rsidRPr="00CE324C" w:rsidRDefault="005E07E8" w:rsidP="009408F2">
      <w:pPr>
        <w:ind w:left="1440"/>
      </w:pPr>
    </w:p>
    <w:p w:rsidR="005E07E8" w:rsidRPr="00CE324C" w:rsidRDefault="005E07E8" w:rsidP="009408F2">
      <w:pPr>
        <w:ind w:left="2160"/>
      </w:pPr>
      <w:r w:rsidRPr="00CE324C">
        <w:t>MDEP Proposes New Mining Rule</w:t>
      </w:r>
      <w:r w:rsidR="009408F2">
        <w:t xml:space="preserve">, page </w:t>
      </w:r>
      <w:r w:rsidR="00904F51">
        <w:t>9</w:t>
      </w:r>
    </w:p>
    <w:p w:rsidR="005E07E8" w:rsidRPr="00CE324C" w:rsidRDefault="005E07E8" w:rsidP="009408F2">
      <w:pPr>
        <w:ind w:left="1440"/>
      </w:pPr>
    </w:p>
    <w:p w:rsidR="005E07E8" w:rsidRPr="00CE324C" w:rsidRDefault="005E07E8" w:rsidP="009408F2">
      <w:pPr>
        <w:ind w:left="1440"/>
        <w:rPr>
          <w:i/>
        </w:rPr>
      </w:pPr>
      <w:r w:rsidRPr="00CE324C">
        <w:rPr>
          <w:i/>
        </w:rPr>
        <w:t>Massachusetts</w:t>
      </w:r>
    </w:p>
    <w:p w:rsidR="005E07E8" w:rsidRPr="00CE324C" w:rsidRDefault="005E07E8" w:rsidP="009408F2">
      <w:pPr>
        <w:ind w:left="1440"/>
      </w:pPr>
    </w:p>
    <w:p w:rsidR="005E07E8" w:rsidRPr="00CE324C" w:rsidRDefault="005E07E8" w:rsidP="009408F2">
      <w:pPr>
        <w:ind w:left="2160"/>
      </w:pPr>
      <w:r w:rsidRPr="00E17288">
        <w:rPr>
          <w:highlight w:val="yellow"/>
        </w:rPr>
        <w:t xml:space="preserve">House Passes Bill Requiring Children’s Jewelry </w:t>
      </w:r>
      <w:proofErr w:type="gramStart"/>
      <w:r w:rsidRPr="00E17288">
        <w:rPr>
          <w:highlight w:val="yellow"/>
        </w:rPr>
        <w:t>To Meet Requirements Of</w:t>
      </w:r>
      <w:proofErr w:type="gramEnd"/>
      <w:r w:rsidRPr="00E17288">
        <w:rPr>
          <w:highlight w:val="yellow"/>
        </w:rPr>
        <w:t xml:space="preserve"> ASTM F2923-14</w:t>
      </w:r>
      <w:r w:rsidR="009408F2">
        <w:t xml:space="preserve">, page </w:t>
      </w:r>
      <w:r w:rsidR="00904F51">
        <w:t>10</w:t>
      </w:r>
    </w:p>
    <w:p w:rsidR="005E07E8" w:rsidRPr="00CE324C" w:rsidRDefault="005E07E8" w:rsidP="009408F2">
      <w:pPr>
        <w:ind w:left="1440"/>
      </w:pPr>
    </w:p>
    <w:p w:rsidR="005E07E8" w:rsidRPr="00CE324C" w:rsidRDefault="005E07E8" w:rsidP="009408F2">
      <w:pPr>
        <w:ind w:left="1440"/>
        <w:rPr>
          <w:i/>
        </w:rPr>
      </w:pPr>
      <w:r w:rsidRPr="00CE324C">
        <w:rPr>
          <w:i/>
        </w:rPr>
        <w:t>Minnesota</w:t>
      </w:r>
    </w:p>
    <w:p w:rsidR="005E07E8" w:rsidRPr="00CE324C" w:rsidRDefault="005E07E8" w:rsidP="009408F2">
      <w:pPr>
        <w:ind w:left="1440"/>
      </w:pPr>
    </w:p>
    <w:p w:rsidR="005E07E8" w:rsidRPr="00CE324C" w:rsidRDefault="005E07E8" w:rsidP="009408F2">
      <w:pPr>
        <w:ind w:left="2160"/>
      </w:pPr>
      <w:r w:rsidRPr="00FF29FC">
        <w:rPr>
          <w:highlight w:val="yellow"/>
        </w:rPr>
        <w:t xml:space="preserve">MDH Adds Several Cadmium Compounds </w:t>
      </w:r>
      <w:proofErr w:type="gramStart"/>
      <w:r w:rsidRPr="00FF29FC">
        <w:rPr>
          <w:highlight w:val="yellow"/>
        </w:rPr>
        <w:t>To List Of Chemicals Of</w:t>
      </w:r>
      <w:proofErr w:type="gramEnd"/>
      <w:r w:rsidRPr="00FF29FC">
        <w:rPr>
          <w:highlight w:val="yellow"/>
        </w:rPr>
        <w:t xml:space="preserve"> High Concern</w:t>
      </w:r>
      <w:r w:rsidR="009408F2">
        <w:t xml:space="preserve">, page </w:t>
      </w:r>
      <w:r w:rsidR="00904F51">
        <w:t>10</w:t>
      </w:r>
    </w:p>
    <w:p w:rsidR="005E07E8" w:rsidRPr="00CE324C" w:rsidRDefault="005E07E8" w:rsidP="009408F2">
      <w:pPr>
        <w:ind w:left="1440"/>
      </w:pPr>
    </w:p>
    <w:p w:rsidR="005E07E8" w:rsidRPr="00CE324C" w:rsidRDefault="005E07E8" w:rsidP="002A052A">
      <w:pPr>
        <w:keepNext/>
        <w:keepLines/>
        <w:widowControl/>
        <w:tabs>
          <w:tab w:val="left" w:pos="4080"/>
        </w:tabs>
        <w:ind w:left="1440"/>
        <w:rPr>
          <w:i/>
        </w:rPr>
      </w:pPr>
      <w:r w:rsidRPr="00CE324C">
        <w:rPr>
          <w:i/>
        </w:rPr>
        <w:lastRenderedPageBreak/>
        <w:t>Oregon</w:t>
      </w:r>
    </w:p>
    <w:p w:rsidR="005E07E8" w:rsidRPr="00CE324C" w:rsidRDefault="005E07E8" w:rsidP="002A052A">
      <w:pPr>
        <w:keepNext/>
        <w:keepLines/>
        <w:widowControl/>
        <w:ind w:left="1440"/>
      </w:pPr>
    </w:p>
    <w:p w:rsidR="005E07E8" w:rsidRPr="00CE324C" w:rsidRDefault="005E07E8" w:rsidP="009408F2">
      <w:pPr>
        <w:widowControl/>
        <w:ind w:left="2160"/>
      </w:pPr>
      <w:r w:rsidRPr="00FF29FC">
        <w:rPr>
          <w:highlight w:val="yellow"/>
        </w:rPr>
        <w:t xml:space="preserve">ODEQ Proposes That OEQC Approve Proposed Permanent Rules </w:t>
      </w:r>
      <w:proofErr w:type="gramStart"/>
      <w:r w:rsidRPr="00FF29FC">
        <w:rPr>
          <w:highlight w:val="yellow"/>
        </w:rPr>
        <w:t>For</w:t>
      </w:r>
      <w:proofErr w:type="gramEnd"/>
      <w:r w:rsidRPr="00FF29FC">
        <w:rPr>
          <w:highlight w:val="yellow"/>
        </w:rPr>
        <w:t xml:space="preserve"> Colored Art Glass Manufacturers</w:t>
      </w:r>
      <w:r w:rsidR="009408F2">
        <w:t xml:space="preserve">, page </w:t>
      </w:r>
      <w:r w:rsidR="00904F51">
        <w:t>11</w:t>
      </w:r>
    </w:p>
    <w:p w:rsidR="005E07E8" w:rsidRPr="00CE324C" w:rsidRDefault="005E07E8" w:rsidP="009408F2">
      <w:pPr>
        <w:widowControl/>
        <w:ind w:left="1440"/>
      </w:pPr>
    </w:p>
    <w:p w:rsidR="005E07E8" w:rsidRPr="00CE324C" w:rsidRDefault="005E07E8" w:rsidP="009408F2">
      <w:pPr>
        <w:widowControl/>
        <w:ind w:left="1440"/>
        <w:rPr>
          <w:i/>
        </w:rPr>
      </w:pPr>
      <w:r w:rsidRPr="00CE324C">
        <w:rPr>
          <w:i/>
        </w:rPr>
        <w:t>Texas</w:t>
      </w:r>
    </w:p>
    <w:p w:rsidR="005E07E8" w:rsidRPr="00CE324C" w:rsidRDefault="005E07E8" w:rsidP="009408F2">
      <w:pPr>
        <w:widowControl/>
        <w:ind w:left="1440"/>
      </w:pPr>
    </w:p>
    <w:p w:rsidR="005E07E8" w:rsidRPr="00CE324C" w:rsidRDefault="005E07E8" w:rsidP="009408F2">
      <w:pPr>
        <w:widowControl/>
        <w:ind w:left="2160"/>
      </w:pPr>
      <w:r w:rsidRPr="00FF29FC">
        <w:rPr>
          <w:highlight w:val="yellow"/>
        </w:rPr>
        <w:t xml:space="preserve">Final DSD Available </w:t>
      </w:r>
      <w:proofErr w:type="gramStart"/>
      <w:r w:rsidRPr="00FF29FC">
        <w:rPr>
          <w:highlight w:val="yellow"/>
        </w:rPr>
        <w:t>For Cadmium And</w:t>
      </w:r>
      <w:proofErr w:type="gramEnd"/>
      <w:r w:rsidRPr="00FF29FC">
        <w:rPr>
          <w:highlight w:val="yellow"/>
        </w:rPr>
        <w:t xml:space="preserve"> Cadmium Compounds</w:t>
      </w:r>
      <w:r w:rsidR="009408F2">
        <w:t xml:space="preserve">, page </w:t>
      </w:r>
      <w:r w:rsidR="00904F51">
        <w:t>11</w:t>
      </w:r>
    </w:p>
    <w:p w:rsidR="005E07E8" w:rsidRPr="00CE324C" w:rsidRDefault="005E07E8" w:rsidP="009408F2">
      <w:pPr>
        <w:widowControl/>
        <w:ind w:left="1440"/>
      </w:pPr>
    </w:p>
    <w:p w:rsidR="005E07E8" w:rsidRPr="00CE324C" w:rsidRDefault="009408F2" w:rsidP="009408F2">
      <w:pPr>
        <w:widowControl/>
        <w:ind w:left="720"/>
      </w:pPr>
      <w:r w:rsidRPr="00CE324C">
        <w:t>International Issues</w:t>
      </w:r>
    </w:p>
    <w:p w:rsidR="005E07E8" w:rsidRPr="00CE324C" w:rsidRDefault="005E07E8" w:rsidP="009408F2">
      <w:pPr>
        <w:ind w:left="720"/>
      </w:pPr>
    </w:p>
    <w:p w:rsidR="005E07E8" w:rsidRPr="00CE324C" w:rsidRDefault="009408F2" w:rsidP="009408F2">
      <w:pPr>
        <w:ind w:left="1440"/>
      </w:pPr>
      <w:r w:rsidRPr="00CE324C">
        <w:t>Bangladesh</w:t>
      </w:r>
    </w:p>
    <w:p w:rsidR="005E07E8" w:rsidRPr="00CE324C" w:rsidRDefault="005E07E8" w:rsidP="009408F2">
      <w:pPr>
        <w:ind w:left="1440"/>
      </w:pPr>
    </w:p>
    <w:p w:rsidR="005E07E8" w:rsidRPr="00CE324C" w:rsidRDefault="005E07E8" w:rsidP="009408F2">
      <w:pPr>
        <w:ind w:left="2160"/>
      </w:pPr>
      <w:r w:rsidRPr="00E17288">
        <w:rPr>
          <w:highlight w:val="yellow"/>
        </w:rPr>
        <w:t xml:space="preserve">NGO Finds High Levels </w:t>
      </w:r>
      <w:proofErr w:type="gramStart"/>
      <w:r w:rsidRPr="00E17288">
        <w:rPr>
          <w:highlight w:val="yellow"/>
        </w:rPr>
        <w:t>Of Cadmium In</w:t>
      </w:r>
      <w:proofErr w:type="gramEnd"/>
      <w:r w:rsidRPr="00E17288">
        <w:rPr>
          <w:highlight w:val="yellow"/>
        </w:rPr>
        <w:t xml:space="preserve"> Children’s Jewelry</w:t>
      </w:r>
      <w:bookmarkStart w:id="0" w:name="_GoBack"/>
      <w:bookmarkEnd w:id="0"/>
      <w:r w:rsidR="009408F2">
        <w:t xml:space="preserve">, page </w:t>
      </w:r>
      <w:r w:rsidR="00B54AE3">
        <w:t>12</w:t>
      </w:r>
    </w:p>
    <w:p w:rsidR="005E07E8" w:rsidRPr="00CE324C" w:rsidRDefault="005E07E8" w:rsidP="009408F2">
      <w:pPr>
        <w:ind w:left="1440"/>
      </w:pPr>
    </w:p>
    <w:p w:rsidR="005E07E8" w:rsidRPr="00CE324C" w:rsidRDefault="009408F2" w:rsidP="009408F2">
      <w:pPr>
        <w:widowControl/>
        <w:ind w:left="1440"/>
      </w:pPr>
      <w:r w:rsidRPr="00CE324C">
        <w:t>Canada</w:t>
      </w:r>
    </w:p>
    <w:p w:rsidR="005E07E8" w:rsidRPr="00CE324C" w:rsidRDefault="005E07E8" w:rsidP="009408F2">
      <w:pPr>
        <w:widowControl/>
        <w:ind w:left="1440"/>
      </w:pPr>
    </w:p>
    <w:p w:rsidR="005E07E8" w:rsidRPr="00CE324C" w:rsidRDefault="005E07E8" w:rsidP="009408F2">
      <w:pPr>
        <w:ind w:left="2160"/>
      </w:pPr>
      <w:r w:rsidRPr="00FF29FC">
        <w:rPr>
          <w:highlight w:val="yellow"/>
        </w:rPr>
        <w:t xml:space="preserve">Canada Begins Consultation </w:t>
      </w:r>
      <w:proofErr w:type="gramStart"/>
      <w:r w:rsidRPr="00FF29FC">
        <w:rPr>
          <w:highlight w:val="yellow"/>
        </w:rPr>
        <w:t>On Proposed Prioritization Approach For Nanoscale Forms Of</w:t>
      </w:r>
      <w:proofErr w:type="gramEnd"/>
      <w:r w:rsidRPr="00FF29FC">
        <w:rPr>
          <w:highlight w:val="yellow"/>
        </w:rPr>
        <w:t xml:space="preserve"> DSL Substances</w:t>
      </w:r>
      <w:r w:rsidR="009408F2">
        <w:t xml:space="preserve">, page </w:t>
      </w:r>
      <w:r w:rsidR="00B54AE3">
        <w:t>13</w:t>
      </w:r>
    </w:p>
    <w:p w:rsidR="005E07E8" w:rsidRPr="00CE324C" w:rsidRDefault="005E07E8" w:rsidP="009408F2">
      <w:pPr>
        <w:ind w:left="2160"/>
      </w:pPr>
    </w:p>
    <w:p w:rsidR="005E07E8" w:rsidRPr="00CE324C" w:rsidRDefault="005E07E8" w:rsidP="009408F2">
      <w:pPr>
        <w:ind w:left="2160"/>
      </w:pPr>
      <w:r w:rsidRPr="00CE324C">
        <w:t>Canada Determines 612 Substances Do Not Meet CEPA Section 64 Criteria</w:t>
      </w:r>
      <w:r w:rsidR="009408F2">
        <w:t xml:space="preserve">, page </w:t>
      </w:r>
      <w:r w:rsidR="00B54AE3">
        <w:t>13</w:t>
      </w:r>
    </w:p>
    <w:p w:rsidR="005E07E8" w:rsidRPr="00CE324C" w:rsidRDefault="005E07E8" w:rsidP="009408F2">
      <w:pPr>
        <w:autoSpaceDE/>
        <w:autoSpaceDN/>
        <w:adjustRightInd/>
        <w:ind w:left="1440"/>
        <w:rPr>
          <w:rFonts w:eastAsia="Arial Unicode MS"/>
        </w:rPr>
      </w:pPr>
    </w:p>
    <w:p w:rsidR="005E07E8" w:rsidRPr="00CE324C" w:rsidRDefault="009408F2" w:rsidP="009408F2">
      <w:pPr>
        <w:widowControl/>
        <w:ind w:left="1440"/>
      </w:pPr>
      <w:r w:rsidRPr="00CE324C">
        <w:t>China</w:t>
      </w:r>
    </w:p>
    <w:p w:rsidR="005E07E8" w:rsidRPr="00CE324C" w:rsidRDefault="005E07E8" w:rsidP="009408F2">
      <w:pPr>
        <w:widowControl/>
        <w:ind w:left="1440"/>
      </w:pPr>
    </w:p>
    <w:p w:rsidR="005E07E8" w:rsidRPr="00CE324C" w:rsidRDefault="005E07E8" w:rsidP="009408F2">
      <w:pPr>
        <w:autoSpaceDE/>
        <w:autoSpaceDN/>
        <w:adjustRightInd/>
        <w:ind w:left="2160"/>
        <w:rPr>
          <w:rFonts w:eastAsia="Arial Unicode MS"/>
        </w:rPr>
      </w:pPr>
      <w:r w:rsidRPr="00CE324C">
        <w:rPr>
          <w:rFonts w:eastAsia="Arial Unicode MS"/>
        </w:rPr>
        <w:t>Resource Tax Reform Took Effect July 1</w:t>
      </w:r>
      <w:r w:rsidR="009408F2">
        <w:t xml:space="preserve">, page </w:t>
      </w:r>
      <w:r w:rsidR="00B54AE3">
        <w:t>14</w:t>
      </w:r>
    </w:p>
    <w:p w:rsidR="005E07E8" w:rsidRPr="00CE324C" w:rsidRDefault="005E07E8" w:rsidP="009408F2">
      <w:pPr>
        <w:autoSpaceDE/>
        <w:autoSpaceDN/>
        <w:adjustRightInd/>
        <w:ind w:left="2160"/>
        <w:rPr>
          <w:rFonts w:eastAsia="Arial Unicode MS"/>
        </w:rPr>
      </w:pPr>
    </w:p>
    <w:p w:rsidR="005E07E8" w:rsidRPr="00CE324C" w:rsidRDefault="005E07E8" w:rsidP="009408F2">
      <w:pPr>
        <w:autoSpaceDE/>
        <w:autoSpaceDN/>
        <w:adjustRightInd/>
        <w:ind w:left="2160"/>
        <w:rPr>
          <w:rFonts w:eastAsia="Arial Unicode MS"/>
        </w:rPr>
      </w:pPr>
      <w:r w:rsidRPr="00CE324C">
        <w:rPr>
          <w:rFonts w:eastAsia="Arial Unicode MS"/>
        </w:rPr>
        <w:t xml:space="preserve">Government Reportedly Buys </w:t>
      </w:r>
      <w:proofErr w:type="gramStart"/>
      <w:r w:rsidRPr="00CE324C">
        <w:rPr>
          <w:rFonts w:eastAsia="Arial Unicode MS"/>
        </w:rPr>
        <w:t>Cadmium-Tainted Wheat For Ethanol And</w:t>
      </w:r>
      <w:proofErr w:type="gramEnd"/>
      <w:r w:rsidRPr="00CE324C">
        <w:rPr>
          <w:rFonts w:eastAsia="Arial Unicode MS"/>
        </w:rPr>
        <w:t xml:space="preserve"> Industrial Use</w:t>
      </w:r>
      <w:r w:rsidR="009408F2">
        <w:t xml:space="preserve">, page </w:t>
      </w:r>
      <w:r w:rsidR="00B54AE3">
        <w:t>14</w:t>
      </w:r>
    </w:p>
    <w:p w:rsidR="005E07E8" w:rsidRPr="00CE324C" w:rsidRDefault="005E07E8" w:rsidP="009408F2">
      <w:pPr>
        <w:autoSpaceDE/>
        <w:autoSpaceDN/>
        <w:adjustRightInd/>
        <w:ind w:left="1440"/>
        <w:rPr>
          <w:rFonts w:eastAsia="Arial Unicode MS"/>
        </w:rPr>
      </w:pPr>
    </w:p>
    <w:p w:rsidR="005E07E8" w:rsidRPr="00CE324C" w:rsidRDefault="009408F2" w:rsidP="009408F2">
      <w:pPr>
        <w:widowControl/>
        <w:autoSpaceDE/>
        <w:autoSpaceDN/>
        <w:adjustRightInd/>
        <w:ind w:left="1440"/>
        <w:rPr>
          <w:rFonts w:eastAsia="Arial Unicode MS"/>
        </w:rPr>
      </w:pPr>
      <w:r w:rsidRPr="00CE324C">
        <w:rPr>
          <w:rFonts w:eastAsia="Arial Unicode MS"/>
        </w:rPr>
        <w:t>Hong Kong</w:t>
      </w:r>
    </w:p>
    <w:p w:rsidR="005E07E8" w:rsidRPr="00CE324C" w:rsidRDefault="005E07E8" w:rsidP="009408F2">
      <w:pPr>
        <w:widowControl/>
        <w:autoSpaceDE/>
        <w:autoSpaceDN/>
        <w:adjustRightInd/>
        <w:ind w:left="1440"/>
        <w:rPr>
          <w:rFonts w:eastAsia="Arial Unicode MS"/>
        </w:rPr>
      </w:pPr>
    </w:p>
    <w:p w:rsidR="005E07E8" w:rsidRPr="00CE324C" w:rsidRDefault="005E07E8" w:rsidP="009408F2">
      <w:pPr>
        <w:widowControl/>
        <w:autoSpaceDE/>
        <w:autoSpaceDN/>
        <w:adjustRightInd/>
        <w:ind w:left="2160"/>
        <w:rPr>
          <w:rFonts w:eastAsia="Arial Unicode MS"/>
        </w:rPr>
      </w:pPr>
      <w:r w:rsidRPr="00CE324C">
        <w:rPr>
          <w:rFonts w:eastAsia="Arial Unicode MS"/>
        </w:rPr>
        <w:t>Mushroom Samples Contain Excessive Cadmium</w:t>
      </w:r>
      <w:r w:rsidR="009408F2">
        <w:t xml:space="preserve">, page </w:t>
      </w:r>
      <w:r w:rsidR="00B54AE3">
        <w:t>15</w:t>
      </w:r>
    </w:p>
    <w:p w:rsidR="005E07E8" w:rsidRPr="00CE324C" w:rsidRDefault="005E07E8" w:rsidP="009408F2">
      <w:pPr>
        <w:widowControl/>
        <w:autoSpaceDE/>
        <w:autoSpaceDN/>
        <w:adjustRightInd/>
        <w:ind w:left="2160"/>
        <w:rPr>
          <w:rFonts w:eastAsia="Arial Unicode MS"/>
        </w:rPr>
      </w:pPr>
    </w:p>
    <w:p w:rsidR="005E07E8" w:rsidRPr="00CE324C" w:rsidRDefault="005E07E8" w:rsidP="009408F2">
      <w:pPr>
        <w:widowControl/>
        <w:autoSpaceDE/>
        <w:autoSpaceDN/>
        <w:adjustRightInd/>
        <w:ind w:left="2160"/>
        <w:rPr>
          <w:rFonts w:eastAsia="Arial Unicode MS"/>
        </w:rPr>
      </w:pPr>
      <w:r w:rsidRPr="00CE324C">
        <w:rPr>
          <w:rFonts w:eastAsia="Arial Unicode MS"/>
        </w:rPr>
        <w:t xml:space="preserve">Excessive Cadmium Found </w:t>
      </w:r>
      <w:proofErr w:type="gramStart"/>
      <w:r w:rsidRPr="00CE324C">
        <w:rPr>
          <w:rFonts w:eastAsia="Arial Unicode MS"/>
        </w:rPr>
        <w:t>In Black Rice Imported From</w:t>
      </w:r>
      <w:proofErr w:type="gramEnd"/>
      <w:r w:rsidRPr="00CE324C">
        <w:rPr>
          <w:rFonts w:eastAsia="Arial Unicode MS"/>
        </w:rPr>
        <w:t xml:space="preserve"> Thailand</w:t>
      </w:r>
      <w:r w:rsidR="009408F2">
        <w:t xml:space="preserve">, page </w:t>
      </w:r>
      <w:r w:rsidR="00B54AE3">
        <w:t>15</w:t>
      </w:r>
    </w:p>
    <w:p w:rsidR="005E07E8" w:rsidRPr="00CE324C" w:rsidRDefault="005E07E8" w:rsidP="009408F2">
      <w:pPr>
        <w:widowControl/>
        <w:autoSpaceDE/>
        <w:autoSpaceDN/>
        <w:adjustRightInd/>
        <w:ind w:left="1440"/>
        <w:rPr>
          <w:rFonts w:eastAsia="Arial Unicode MS"/>
        </w:rPr>
      </w:pPr>
    </w:p>
    <w:p w:rsidR="005E07E8" w:rsidRPr="00CE324C" w:rsidRDefault="009408F2" w:rsidP="009408F2">
      <w:pPr>
        <w:widowControl/>
        <w:suppressAutoHyphens/>
        <w:autoSpaceDE/>
        <w:autoSpaceDN/>
        <w:adjustRightInd/>
        <w:ind w:left="1440"/>
        <w:rPr>
          <w:rFonts w:eastAsia="Arial Unicode MS"/>
          <w:lang w:eastAsia="zh-CN"/>
        </w:rPr>
      </w:pPr>
      <w:r w:rsidRPr="00CE324C">
        <w:rPr>
          <w:rFonts w:eastAsia="Arial Unicode MS"/>
          <w:lang w:eastAsia="zh-CN"/>
        </w:rPr>
        <w:t>India</w:t>
      </w:r>
    </w:p>
    <w:p w:rsidR="005E07E8" w:rsidRPr="00CE324C" w:rsidRDefault="005E07E8" w:rsidP="009408F2">
      <w:pPr>
        <w:widowControl/>
        <w:suppressAutoHyphens/>
        <w:autoSpaceDE/>
        <w:autoSpaceDN/>
        <w:adjustRightInd/>
        <w:ind w:left="1440"/>
        <w:rPr>
          <w:rFonts w:eastAsia="Arial Unicode MS"/>
          <w:lang w:eastAsia="zh-CN"/>
        </w:rPr>
      </w:pPr>
    </w:p>
    <w:p w:rsidR="005E07E8" w:rsidRPr="00CE324C" w:rsidRDefault="005E07E8" w:rsidP="009408F2">
      <w:pPr>
        <w:widowControl/>
        <w:suppressAutoHyphens/>
        <w:autoSpaceDE/>
        <w:autoSpaceDN/>
        <w:adjustRightInd/>
        <w:ind w:left="2160"/>
        <w:rPr>
          <w:rFonts w:eastAsia="Arial Unicode MS"/>
          <w:lang w:eastAsia="zh-CN"/>
        </w:rPr>
      </w:pPr>
      <w:r w:rsidRPr="00CE324C">
        <w:rPr>
          <w:rFonts w:eastAsia="Arial Unicode MS"/>
          <w:lang w:eastAsia="zh-CN"/>
        </w:rPr>
        <w:t xml:space="preserve">Cabinet Approves Extension </w:t>
      </w:r>
      <w:proofErr w:type="gramStart"/>
      <w:r w:rsidRPr="00CE324C">
        <w:rPr>
          <w:rFonts w:eastAsia="Arial Unicode MS"/>
          <w:lang w:eastAsia="zh-CN"/>
        </w:rPr>
        <w:t>Of Contract For Exploration Of</w:t>
      </w:r>
      <w:proofErr w:type="gramEnd"/>
      <w:r w:rsidRPr="00CE324C">
        <w:rPr>
          <w:rFonts w:eastAsia="Arial Unicode MS"/>
          <w:lang w:eastAsia="zh-CN"/>
        </w:rPr>
        <w:t xml:space="preserve"> Polymetallic Nodules</w:t>
      </w:r>
      <w:r w:rsidR="009408F2">
        <w:t xml:space="preserve">, page </w:t>
      </w:r>
      <w:r w:rsidR="00B54AE3">
        <w:t>15</w:t>
      </w:r>
    </w:p>
    <w:p w:rsidR="005E07E8" w:rsidRPr="00CE324C" w:rsidRDefault="005E07E8" w:rsidP="009408F2">
      <w:pPr>
        <w:widowControl/>
        <w:suppressAutoHyphens/>
        <w:autoSpaceDE/>
        <w:autoSpaceDN/>
        <w:adjustRightInd/>
        <w:ind w:left="1440"/>
        <w:rPr>
          <w:rFonts w:eastAsia="Arial Unicode MS"/>
          <w:lang w:eastAsia="zh-CN"/>
        </w:rPr>
      </w:pPr>
    </w:p>
    <w:p w:rsidR="005E07E8" w:rsidRPr="00CE324C" w:rsidRDefault="009408F2" w:rsidP="002A052A">
      <w:pPr>
        <w:keepNext/>
        <w:keepLines/>
        <w:widowControl/>
        <w:ind w:left="1440"/>
      </w:pPr>
      <w:r w:rsidRPr="00CE324C">
        <w:lastRenderedPageBreak/>
        <w:t>Philippines</w:t>
      </w:r>
    </w:p>
    <w:p w:rsidR="005E07E8" w:rsidRPr="00CE324C" w:rsidRDefault="005E07E8" w:rsidP="009408F2">
      <w:pPr>
        <w:ind w:left="1440"/>
      </w:pPr>
    </w:p>
    <w:p w:rsidR="005E07E8" w:rsidRPr="00CE324C" w:rsidRDefault="005E07E8" w:rsidP="009408F2">
      <w:pPr>
        <w:ind w:left="2160"/>
      </w:pPr>
      <w:r w:rsidRPr="00FF29FC">
        <w:rPr>
          <w:highlight w:val="yellow"/>
        </w:rPr>
        <w:t xml:space="preserve">NGO Urges Regulation Restricting </w:t>
      </w:r>
      <w:proofErr w:type="gramStart"/>
      <w:r w:rsidRPr="00FF29FC">
        <w:rPr>
          <w:highlight w:val="yellow"/>
        </w:rPr>
        <w:t>The Content Of</w:t>
      </w:r>
      <w:proofErr w:type="gramEnd"/>
      <w:r w:rsidRPr="00FF29FC">
        <w:rPr>
          <w:highlight w:val="yellow"/>
        </w:rPr>
        <w:t xml:space="preserve"> Hazardous Substances, Including Cadmium, In Jewelry</w:t>
      </w:r>
      <w:r w:rsidR="009408F2">
        <w:t xml:space="preserve">, page </w:t>
      </w:r>
      <w:r w:rsidR="00B54AE3">
        <w:t>16</w:t>
      </w:r>
    </w:p>
    <w:p w:rsidR="005E07E8" w:rsidRPr="00CE324C" w:rsidRDefault="005E07E8" w:rsidP="009408F2">
      <w:pPr>
        <w:ind w:left="1440"/>
      </w:pPr>
    </w:p>
    <w:p w:rsidR="005E07E8" w:rsidRPr="00CE324C" w:rsidRDefault="009408F2" w:rsidP="009408F2">
      <w:pPr>
        <w:autoSpaceDE/>
        <w:autoSpaceDN/>
        <w:adjustRightInd/>
        <w:ind w:left="1440"/>
        <w:rPr>
          <w:rFonts w:eastAsia="Arial Unicode MS"/>
        </w:rPr>
      </w:pPr>
      <w:r w:rsidRPr="00CE324C">
        <w:rPr>
          <w:rFonts w:eastAsia="Arial Unicode MS"/>
        </w:rPr>
        <w:t>Singapore</w:t>
      </w:r>
    </w:p>
    <w:p w:rsidR="005E07E8" w:rsidRPr="00CE324C" w:rsidRDefault="005E07E8" w:rsidP="009408F2">
      <w:pPr>
        <w:autoSpaceDE/>
        <w:autoSpaceDN/>
        <w:adjustRightInd/>
        <w:ind w:left="1440"/>
        <w:rPr>
          <w:rFonts w:eastAsia="Arial Unicode MS"/>
        </w:rPr>
      </w:pPr>
    </w:p>
    <w:p w:rsidR="005E07E8" w:rsidRPr="00CE324C" w:rsidRDefault="005E07E8" w:rsidP="009408F2">
      <w:pPr>
        <w:autoSpaceDE/>
        <w:autoSpaceDN/>
        <w:adjustRightInd/>
        <w:ind w:left="2160"/>
        <w:rPr>
          <w:rFonts w:eastAsia="Arial Unicode MS"/>
        </w:rPr>
      </w:pPr>
      <w:r w:rsidRPr="00FF29FC">
        <w:rPr>
          <w:rFonts w:eastAsia="Arial Unicode MS"/>
          <w:highlight w:val="yellow"/>
        </w:rPr>
        <w:t>RoHS Regulation Will Take Effect June 1, 2017</w:t>
      </w:r>
      <w:r w:rsidR="009408F2">
        <w:t xml:space="preserve">, page </w:t>
      </w:r>
      <w:r w:rsidR="00B54AE3">
        <w:t>16</w:t>
      </w:r>
    </w:p>
    <w:p w:rsidR="005E07E8" w:rsidRPr="00CE324C" w:rsidRDefault="005E07E8" w:rsidP="009408F2">
      <w:pPr>
        <w:autoSpaceDE/>
        <w:autoSpaceDN/>
        <w:adjustRightInd/>
        <w:ind w:left="1440"/>
        <w:rPr>
          <w:rFonts w:eastAsia="Arial Unicode MS"/>
        </w:rPr>
      </w:pPr>
    </w:p>
    <w:p w:rsidR="005E07E8" w:rsidRPr="00CE324C" w:rsidRDefault="009408F2" w:rsidP="009408F2">
      <w:pPr>
        <w:autoSpaceDE/>
        <w:autoSpaceDN/>
        <w:adjustRightInd/>
        <w:ind w:left="1440"/>
        <w:rPr>
          <w:rFonts w:eastAsia="Arial Unicode MS"/>
        </w:rPr>
      </w:pPr>
      <w:r w:rsidRPr="00CE324C">
        <w:rPr>
          <w:rFonts w:eastAsia="Arial Unicode MS"/>
        </w:rPr>
        <w:t>Taiwan</w:t>
      </w:r>
    </w:p>
    <w:p w:rsidR="005E07E8" w:rsidRPr="00CE324C" w:rsidRDefault="005E07E8" w:rsidP="009408F2">
      <w:pPr>
        <w:autoSpaceDE/>
        <w:autoSpaceDN/>
        <w:adjustRightInd/>
        <w:ind w:left="1440"/>
        <w:rPr>
          <w:rFonts w:eastAsia="Arial Unicode MS"/>
        </w:rPr>
      </w:pPr>
    </w:p>
    <w:p w:rsidR="005E07E8" w:rsidRPr="00CE324C" w:rsidRDefault="005E07E8" w:rsidP="009408F2">
      <w:pPr>
        <w:autoSpaceDE/>
        <w:autoSpaceDN/>
        <w:adjustRightInd/>
        <w:ind w:left="2160"/>
        <w:rPr>
          <w:rFonts w:eastAsia="Arial Unicode MS"/>
        </w:rPr>
      </w:pPr>
      <w:r w:rsidRPr="00CE324C">
        <w:rPr>
          <w:rFonts w:eastAsia="Arial Unicode MS"/>
        </w:rPr>
        <w:t xml:space="preserve">Taiwan OSHA Consults </w:t>
      </w:r>
      <w:proofErr w:type="gramStart"/>
      <w:r w:rsidRPr="00CE324C">
        <w:rPr>
          <w:rFonts w:eastAsia="Arial Unicode MS"/>
        </w:rPr>
        <w:t>On Amendments To Inventory Of</w:t>
      </w:r>
      <w:proofErr w:type="gramEnd"/>
      <w:r w:rsidRPr="00CE324C">
        <w:rPr>
          <w:rFonts w:eastAsia="Arial Unicode MS"/>
        </w:rPr>
        <w:t xml:space="preserve"> Existing Chemicals</w:t>
      </w:r>
      <w:r w:rsidR="00904F51">
        <w:t>, page 17</w:t>
      </w:r>
    </w:p>
    <w:p w:rsidR="005E07E8" w:rsidRPr="00CE324C" w:rsidRDefault="005E07E8" w:rsidP="009408F2">
      <w:pPr>
        <w:autoSpaceDE/>
        <w:autoSpaceDN/>
        <w:adjustRightInd/>
        <w:ind w:left="2160"/>
        <w:rPr>
          <w:rFonts w:eastAsia="Arial Unicode MS"/>
        </w:rPr>
      </w:pPr>
    </w:p>
    <w:p w:rsidR="005E07E8" w:rsidRPr="00CE324C" w:rsidRDefault="005E07E8" w:rsidP="009408F2">
      <w:pPr>
        <w:autoSpaceDE/>
        <w:autoSpaceDN/>
        <w:adjustRightInd/>
        <w:ind w:left="2160"/>
        <w:rPr>
          <w:rFonts w:eastAsia="Arial Unicode MS"/>
        </w:rPr>
      </w:pPr>
      <w:r w:rsidRPr="00CE324C">
        <w:rPr>
          <w:rFonts w:eastAsia="Arial Unicode MS"/>
        </w:rPr>
        <w:t xml:space="preserve">BSMI Will Stagger RoHS Deadlines </w:t>
      </w:r>
      <w:proofErr w:type="gramStart"/>
      <w:r w:rsidRPr="00CE324C">
        <w:rPr>
          <w:rFonts w:eastAsia="Arial Unicode MS"/>
        </w:rPr>
        <w:t>For</w:t>
      </w:r>
      <w:proofErr w:type="gramEnd"/>
      <w:r w:rsidRPr="00CE324C">
        <w:rPr>
          <w:rFonts w:eastAsia="Arial Unicode MS"/>
        </w:rPr>
        <w:t xml:space="preserve"> Product Compliance</w:t>
      </w:r>
      <w:r w:rsidR="00904F51">
        <w:t>, page 17</w:t>
      </w:r>
    </w:p>
    <w:p w:rsidR="005E07E8" w:rsidRPr="00CE324C" w:rsidRDefault="005E07E8" w:rsidP="009408F2">
      <w:pPr>
        <w:autoSpaceDE/>
        <w:autoSpaceDN/>
        <w:adjustRightInd/>
        <w:ind w:left="1440"/>
        <w:rPr>
          <w:rFonts w:eastAsia="Arial Unicode MS"/>
        </w:rPr>
      </w:pPr>
    </w:p>
    <w:p w:rsidR="005E07E8" w:rsidRPr="00CE324C" w:rsidRDefault="009408F2" w:rsidP="009408F2">
      <w:pPr>
        <w:widowControl/>
        <w:autoSpaceDE/>
        <w:autoSpaceDN/>
        <w:adjustRightInd/>
        <w:ind w:left="1440"/>
        <w:rPr>
          <w:rFonts w:eastAsia="Arial Unicode MS"/>
        </w:rPr>
      </w:pPr>
      <w:r w:rsidRPr="00CE324C">
        <w:rPr>
          <w:rFonts w:eastAsia="Arial Unicode MS"/>
        </w:rPr>
        <w:t>Thailand</w:t>
      </w:r>
    </w:p>
    <w:p w:rsidR="005E07E8" w:rsidRPr="00CE324C" w:rsidRDefault="005E07E8" w:rsidP="009408F2">
      <w:pPr>
        <w:widowControl/>
        <w:autoSpaceDE/>
        <w:autoSpaceDN/>
        <w:adjustRightInd/>
        <w:ind w:left="1440"/>
        <w:rPr>
          <w:rFonts w:eastAsia="Arial Unicode MS"/>
        </w:rPr>
      </w:pPr>
    </w:p>
    <w:p w:rsidR="005E07E8" w:rsidRPr="00CE324C" w:rsidRDefault="005E07E8" w:rsidP="009408F2">
      <w:pPr>
        <w:ind w:left="2160"/>
      </w:pPr>
      <w:r w:rsidRPr="00CE324C">
        <w:t xml:space="preserve">Thailand Publishes Preliminary Inventory </w:t>
      </w:r>
      <w:proofErr w:type="gramStart"/>
      <w:r w:rsidRPr="00CE324C">
        <w:t>Of</w:t>
      </w:r>
      <w:proofErr w:type="gramEnd"/>
      <w:r w:rsidRPr="00CE324C">
        <w:t xml:space="preserve"> Existing Chemicals</w:t>
      </w:r>
      <w:r w:rsidR="00904F51">
        <w:t>, page 18</w:t>
      </w:r>
    </w:p>
    <w:p w:rsidR="005E07E8" w:rsidRPr="00CE324C" w:rsidRDefault="005E07E8" w:rsidP="009408F2">
      <w:pPr>
        <w:ind w:left="720"/>
      </w:pPr>
    </w:p>
    <w:p w:rsidR="00C86C76" w:rsidRPr="00592B91" w:rsidRDefault="005B6704" w:rsidP="009408F2">
      <w:pPr>
        <w:pStyle w:val="NormalWeb"/>
        <w:spacing w:before="0" w:beforeAutospacing="0" w:after="0" w:afterAutospacing="0"/>
        <w:jc w:val="center"/>
        <w:rPr>
          <w:rFonts w:ascii="Times New Roman" w:hAnsi="Times New Roman" w:cs="Times New Roman"/>
          <w:b/>
        </w:rPr>
      </w:pPr>
      <w:r w:rsidRPr="00592B91">
        <w:rPr>
          <w:rFonts w:ascii="Times New Roman" w:hAnsi="Times New Roman" w:cs="Times New Roman"/>
          <w:b/>
        </w:rPr>
        <w:t>FEDERAL ISSUES</w:t>
      </w:r>
    </w:p>
    <w:p w:rsidR="00C86C76" w:rsidRPr="00592B91" w:rsidRDefault="00C86C76" w:rsidP="009408F2">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86C76" w:rsidRPr="00592B91" w:rsidRDefault="005B6704" w:rsidP="009408F2">
      <w:pPr>
        <w:widowControl/>
        <w:jc w:val="center"/>
        <w:rPr>
          <w:b/>
        </w:rPr>
      </w:pPr>
      <w:r w:rsidRPr="00592B91">
        <w:rPr>
          <w:b/>
        </w:rPr>
        <w:t>CERCLA ISSUES</w:t>
      </w:r>
    </w:p>
    <w:p w:rsidR="00C86C76" w:rsidRPr="00592B91" w:rsidRDefault="00C86C76" w:rsidP="009408F2">
      <w:pPr>
        <w:widowControl/>
      </w:pPr>
    </w:p>
    <w:p w:rsidR="002144D8" w:rsidRPr="00592B91" w:rsidRDefault="002144D8" w:rsidP="009408F2">
      <w:pPr>
        <w:rPr>
          <w:b/>
        </w:rPr>
      </w:pPr>
      <w:r w:rsidRPr="005427BD">
        <w:rPr>
          <w:b/>
          <w:highlight w:val="yellow"/>
        </w:rPr>
        <w:t xml:space="preserve">Surety &amp; Fidelity Association, Congress Express Concerns </w:t>
      </w:r>
      <w:proofErr w:type="gramStart"/>
      <w:r w:rsidRPr="005427BD">
        <w:rPr>
          <w:b/>
          <w:highlight w:val="yellow"/>
        </w:rPr>
        <w:t>With</w:t>
      </w:r>
      <w:proofErr w:type="gramEnd"/>
      <w:r w:rsidRPr="005427BD">
        <w:rPr>
          <w:b/>
          <w:highlight w:val="yellow"/>
        </w:rPr>
        <w:t xml:space="preserve"> EPA’s Rulemaking Concerning Financial Responsibility Requirements For </w:t>
      </w:r>
      <w:proofErr w:type="spellStart"/>
      <w:r w:rsidRPr="005427BD">
        <w:rPr>
          <w:b/>
          <w:highlight w:val="yellow"/>
        </w:rPr>
        <w:t>Hardrock</w:t>
      </w:r>
      <w:proofErr w:type="spellEnd"/>
      <w:r w:rsidRPr="005427BD">
        <w:rPr>
          <w:b/>
          <w:highlight w:val="yellow"/>
        </w:rPr>
        <w:t xml:space="preserve"> Mines</w:t>
      </w:r>
    </w:p>
    <w:p w:rsidR="002144D8" w:rsidRPr="00592B91" w:rsidRDefault="002144D8" w:rsidP="009408F2"/>
    <w:p w:rsidR="002144D8" w:rsidRPr="00592B91" w:rsidRDefault="002144D8" w:rsidP="009408F2">
      <w:r w:rsidRPr="00592B91">
        <w:t xml:space="preserve">On July 14, 2016, the Surety &amp; Fidelity Association of America sent a letter to EPA regarding its proposed implementation of the CERCLA Section 108(b) financial assurance requirements for the </w:t>
      </w:r>
      <w:proofErr w:type="spellStart"/>
      <w:r w:rsidRPr="00592B91">
        <w:t>hardrock</w:t>
      </w:r>
      <w:proofErr w:type="spellEnd"/>
      <w:r w:rsidRPr="00592B91">
        <w:t xml:space="preserve"> mining industry.  According to the Association, whose member companies “collectively write the majority of surety and fidelity bonds” in the U.S., based on presentations and discussions regarding the proposed parameters of the bond thus far, it has identified certain aspects of the bond requirement that could restrict availability.  A “significant concern” is EPA’s proposal to make the financial assurance available to multiple potential claimants through the direct action provisions of Section 108(c).  The Association submitted suggestions for reducing the amount of required financial assurance.  On August 9, 2016, House Energy and Commerce Committee Chair Fred Upton (R-MI) and Natural Resources Committee Chair Rob Bishop (R-UT) sent a </w:t>
      </w:r>
      <w:hyperlink r:id="rId9" w:history="1">
        <w:r w:rsidRPr="00592B91">
          <w:rPr>
            <w:rStyle w:val="Hyperlink"/>
          </w:rPr>
          <w:t>letter</w:t>
        </w:r>
      </w:hyperlink>
      <w:r w:rsidRPr="00592B91">
        <w:t xml:space="preserve"> to EPA Administrator Gina McCarthy.  The Representatives asked EPA to provide both Committees with documentation related to the formulation of EPA’s current model for creating a regulatory regime for financial assurance for the </w:t>
      </w:r>
      <w:proofErr w:type="spellStart"/>
      <w:r w:rsidRPr="00592B91">
        <w:t>hardrock</w:t>
      </w:r>
      <w:proofErr w:type="spellEnd"/>
      <w:r w:rsidRPr="00592B91">
        <w:t xml:space="preserve"> mining industry.  The representatives outlined their concerns with increased costs on the mining industry, and stated:  “If the Agency fails to reduce the amount of the CERCLA financial assurance obligation to account for [other financial assurance] programs, it will result in the unnecessary and duplicative </w:t>
      </w:r>
      <w:r w:rsidRPr="00592B91">
        <w:lastRenderedPageBreak/>
        <w:t xml:space="preserve">imposition of many billions of dollars of financial assurance requirements on the mining industry.”  An EPA spokesperson stated on August 18, 2016, that EPA is “considering” assurance requirements to cover response costs for hazardous discharges or the threat of discharge, natural resource damages, and to cover health assessments.  The public, states, tribes, and other government agencies “could” claim directly against a financial surety.  EPA is preparing a study evaluating the ability of financial institutions to make available CERCLA-compliant sureties, and expects to publish the study before issuing a proposed rule.  Senators Jeff Flake (R-AZ) and John McCain (R-AZ) sent a </w:t>
      </w:r>
      <w:hyperlink r:id="rId10" w:history="1">
        <w:r w:rsidRPr="00592B91">
          <w:rPr>
            <w:rStyle w:val="Hyperlink"/>
          </w:rPr>
          <w:t>letter</w:t>
        </w:r>
      </w:hyperlink>
      <w:r w:rsidRPr="00592B91">
        <w:t xml:space="preserve"> on August 23, 2016, to McCarthy.  The Senators state that Arizona has a “long history” of </w:t>
      </w:r>
      <w:proofErr w:type="spellStart"/>
      <w:r w:rsidRPr="00592B91">
        <w:t>hardrock</w:t>
      </w:r>
      <w:proofErr w:type="spellEnd"/>
      <w:r w:rsidRPr="00592B91">
        <w:t xml:space="preserve"> mining and “the industry plays a key role in the state’s economy.”  The Senators urge EPA to work with Arizona to ensure the proposed rule “does not undermine financial responsibility programs already in place.”  As reported in our March 28, 2016, Update, on January 29, 2016, the U.S. Court of Appeals for the District of Columbia Circuit approved a joint motion filed by the NGO petitioners and EPA for an order on consent.  </w:t>
      </w:r>
      <w:proofErr w:type="gramStart"/>
      <w:r w:rsidRPr="00592B91">
        <w:rPr>
          <w:i/>
        </w:rPr>
        <w:t>In re Idaho Conservation League</w:t>
      </w:r>
      <w:r w:rsidRPr="00592B91">
        <w:t>, No. 14-1149.</w:t>
      </w:r>
      <w:proofErr w:type="gramEnd"/>
      <w:r w:rsidRPr="00592B91">
        <w:t xml:space="preserve">  The agreement includes a schedule for a rulemaking for the </w:t>
      </w:r>
      <w:proofErr w:type="spellStart"/>
      <w:r w:rsidRPr="00592B91">
        <w:t>hardrock</w:t>
      </w:r>
      <w:proofErr w:type="spellEnd"/>
      <w:r w:rsidRPr="00592B91">
        <w:t xml:space="preserve"> mining industry and a timetable by which EPA would consider whether other industries would be involved with a financial assurance rulemaking.  Under the agreement, EPA will begin the rulemaking process for the </w:t>
      </w:r>
      <w:proofErr w:type="spellStart"/>
      <w:r w:rsidRPr="00592B91">
        <w:t>hardrock</w:t>
      </w:r>
      <w:proofErr w:type="spellEnd"/>
      <w:r w:rsidRPr="00592B91">
        <w:t xml:space="preserve"> mining industry by </w:t>
      </w:r>
      <w:r w:rsidRPr="00592B91">
        <w:rPr>
          <w:b/>
        </w:rPr>
        <w:t>December 1, 2016</w:t>
      </w:r>
      <w:r w:rsidRPr="00592B91">
        <w:t xml:space="preserve">, and publish its notice of final action by </w:t>
      </w:r>
      <w:r w:rsidRPr="00592B91">
        <w:rPr>
          <w:b/>
        </w:rPr>
        <w:t>December 1, 2017</w:t>
      </w:r>
      <w:r w:rsidRPr="00592B91">
        <w:t>.  In their letter, Flake and McCain suggest EPA seek an extension from the court to allow EPA time to consult better with the states.</w:t>
      </w:r>
    </w:p>
    <w:p w:rsidR="00C86C76" w:rsidRPr="00592B91" w:rsidRDefault="00C86C76" w:rsidP="009408F2"/>
    <w:p w:rsidR="00431C2E" w:rsidRPr="00592B91" w:rsidRDefault="00431C2E" w:rsidP="009408F2">
      <w:pPr>
        <w:pStyle w:val="BodyText"/>
        <w:spacing w:after="0"/>
        <w:jc w:val="both"/>
        <w:rPr>
          <w:b/>
        </w:rPr>
      </w:pPr>
      <w:r w:rsidRPr="00592B91">
        <w:rPr>
          <w:b/>
        </w:rPr>
        <w:t>Sites Added To NPL Include Bonita Peak Mining District</w:t>
      </w:r>
    </w:p>
    <w:p w:rsidR="00431C2E" w:rsidRPr="00592B91" w:rsidRDefault="00431C2E" w:rsidP="009408F2">
      <w:pPr>
        <w:pStyle w:val="BodyText"/>
        <w:spacing w:after="0"/>
        <w:jc w:val="both"/>
      </w:pPr>
    </w:p>
    <w:p w:rsidR="00431C2E" w:rsidRPr="00592B91" w:rsidRDefault="00431C2E" w:rsidP="009408F2">
      <w:pPr>
        <w:pStyle w:val="BodyText"/>
        <w:spacing w:after="0"/>
        <w:jc w:val="both"/>
      </w:pPr>
      <w:r w:rsidRPr="00592B91">
        <w:t xml:space="preserve">EPA </w:t>
      </w:r>
      <w:hyperlink r:id="rId11" w:history="1">
        <w:r w:rsidRPr="00592B91">
          <w:rPr>
            <w:rStyle w:val="Hyperlink"/>
          </w:rPr>
          <w:t>announced</w:t>
        </w:r>
      </w:hyperlink>
      <w:r w:rsidRPr="00592B91">
        <w:t xml:space="preserve"> on September 7, 2016, that it is adding ten and proposing to add eight hazardous waste sites to the NPL.  The sites have contamination from a variety of sources, including manufacturing, mining, battery recycling, and dry cleaning.  EPA added the Bonita Peak Mining District site in San Juan County, Colorado, to the NPL.  The site, which includes the Gold King Mine, consists of historic and ongoing releases from mining operations in three drainages:  Mineral Creek, Cement Creek, and Upper Animas, which converge into the Animas River near Silverton, Colorado.  Mining began in the area in the 1860s and both large- and small-scale mining operations continued into the 1990s, with the last mine ceasing production in 1991.  The site includes 35 mines, seven tunnels, four tailings impoundments, and two study areas where additional information is needed to evaluate environmental concerns.  EPA states that since 1998, Colorado has designated portions of the Animas River downstream from Cement Creek as impaired for heavy metals, including lead, iron, and aluminum.  EPA has waste quantity data on 32 of Bonita Peak’s 48 sources.  These 32 sources have waste rock and water discharging out of mining </w:t>
      </w:r>
      <w:proofErr w:type="spellStart"/>
      <w:r w:rsidRPr="00592B91">
        <w:t>adits</w:t>
      </w:r>
      <w:proofErr w:type="spellEnd"/>
      <w:r w:rsidRPr="00592B91">
        <w:t xml:space="preserve"> at a combined rate of 5.4 million gallons per day.  </w:t>
      </w:r>
      <w:r w:rsidRPr="00592B91">
        <w:rPr>
          <w:b/>
        </w:rPr>
        <w:t>Cadmium</w:t>
      </w:r>
      <w:r w:rsidRPr="00592B91">
        <w:t>, copper, manganese, and zinc are the known contaminants associated with these discharges.</w:t>
      </w:r>
    </w:p>
    <w:p w:rsidR="00431C2E" w:rsidRPr="00592B91" w:rsidRDefault="00431C2E" w:rsidP="009408F2"/>
    <w:p w:rsidR="00C86C76" w:rsidRPr="00592B91" w:rsidRDefault="005B6704" w:rsidP="002A052A">
      <w:pPr>
        <w:keepNext/>
        <w:keepLines/>
        <w:widowControl/>
        <w:jc w:val="center"/>
        <w:rPr>
          <w:b/>
        </w:rPr>
      </w:pPr>
      <w:r w:rsidRPr="00592B91">
        <w:rPr>
          <w:b/>
        </w:rPr>
        <w:lastRenderedPageBreak/>
        <w:t>TSCA ISSUES</w:t>
      </w:r>
    </w:p>
    <w:p w:rsidR="00C86C76" w:rsidRPr="00592B91" w:rsidRDefault="00C86C76" w:rsidP="002A052A">
      <w:pPr>
        <w:keepNext/>
        <w:keepLines/>
        <w:widowControl/>
      </w:pPr>
    </w:p>
    <w:p w:rsidR="00E74E3F" w:rsidRPr="00592B91" w:rsidRDefault="00EA0C90" w:rsidP="002A052A">
      <w:pPr>
        <w:keepNext/>
        <w:keepLines/>
        <w:widowControl/>
        <w:rPr>
          <w:b/>
        </w:rPr>
      </w:pPr>
      <w:r w:rsidRPr="005427BD">
        <w:rPr>
          <w:b/>
          <w:highlight w:val="yellow"/>
        </w:rPr>
        <w:t xml:space="preserve">NGO </w:t>
      </w:r>
      <w:r w:rsidR="00E74E3F" w:rsidRPr="005427BD">
        <w:rPr>
          <w:b/>
          <w:highlight w:val="yellow"/>
        </w:rPr>
        <w:t xml:space="preserve">Coalition Urges EPA </w:t>
      </w:r>
      <w:proofErr w:type="gramStart"/>
      <w:r w:rsidR="00E74E3F" w:rsidRPr="005427BD">
        <w:rPr>
          <w:b/>
          <w:highlight w:val="yellow"/>
        </w:rPr>
        <w:t>To</w:t>
      </w:r>
      <w:proofErr w:type="gramEnd"/>
      <w:r w:rsidR="00E74E3F" w:rsidRPr="005427BD">
        <w:rPr>
          <w:b/>
          <w:highlight w:val="yellow"/>
        </w:rPr>
        <w:t xml:space="preserve"> Select Cadmium And Cadmium Compounds For Review</w:t>
      </w:r>
    </w:p>
    <w:p w:rsidR="00E74E3F" w:rsidRPr="00592B91" w:rsidRDefault="00E74E3F" w:rsidP="002A052A">
      <w:pPr>
        <w:keepNext/>
        <w:keepLines/>
        <w:widowControl/>
      </w:pPr>
    </w:p>
    <w:p w:rsidR="00E74E3F" w:rsidRPr="00592B91" w:rsidRDefault="00E74E3F" w:rsidP="009408F2">
      <w:pPr>
        <w:widowControl/>
      </w:pPr>
      <w:r w:rsidRPr="00592B91">
        <w:t xml:space="preserve">In an August 9, 2016, letter, a coalition of NGOs </w:t>
      </w:r>
      <w:r w:rsidR="00570775" w:rsidRPr="00592B91">
        <w:t xml:space="preserve">led by Safer Chemicals, Healthy Families </w:t>
      </w:r>
      <w:r w:rsidRPr="00592B91">
        <w:t xml:space="preserve">urged EPA to select the following chemicals as its first ten for review:  asbestos; lead and lead compounds; </w:t>
      </w:r>
      <w:r w:rsidRPr="00592B91">
        <w:rPr>
          <w:b/>
        </w:rPr>
        <w:t>cadmium</w:t>
      </w:r>
      <w:r w:rsidRPr="00592B91">
        <w:t xml:space="preserve"> and </w:t>
      </w:r>
      <w:r w:rsidRPr="00592B91">
        <w:rPr>
          <w:b/>
        </w:rPr>
        <w:t>cadmium compounds</w:t>
      </w:r>
      <w:r w:rsidRPr="00592B91">
        <w:t>; 1</w:t>
      </w:r>
      <w:r w:rsidRPr="00592B91">
        <w:rPr>
          <w:rFonts w:ascii="Cambria Math" w:hAnsi="Cambria Math" w:cs="Cambria Math"/>
        </w:rPr>
        <w:t>‐</w:t>
      </w:r>
      <w:r w:rsidRPr="00592B91">
        <w:t>bromopropane; 1,4</w:t>
      </w:r>
      <w:r w:rsidRPr="00592B91">
        <w:rPr>
          <w:rFonts w:ascii="Cambria Math" w:hAnsi="Cambria Math" w:cs="Cambria Math"/>
        </w:rPr>
        <w:t>‐</w:t>
      </w:r>
      <w:r w:rsidRPr="00592B91">
        <w:t xml:space="preserve">dioxane; styrene; cyclic aliphatic bromides cluster of flame retardants; </w:t>
      </w:r>
      <w:proofErr w:type="spellStart"/>
      <w:r w:rsidRPr="00592B91">
        <w:t>octamethylcyclotetrasiloxane</w:t>
      </w:r>
      <w:proofErr w:type="spellEnd"/>
      <w:r w:rsidRPr="00592B91">
        <w:t xml:space="preserve">; </w:t>
      </w:r>
      <w:proofErr w:type="spellStart"/>
      <w:r w:rsidRPr="00592B91">
        <w:t>nonylphenol</w:t>
      </w:r>
      <w:proofErr w:type="spellEnd"/>
      <w:r w:rsidRPr="00592B91">
        <w:t xml:space="preserve"> and </w:t>
      </w:r>
      <w:proofErr w:type="spellStart"/>
      <w:r w:rsidRPr="00592B91">
        <w:t>nonylphenol</w:t>
      </w:r>
      <w:proofErr w:type="spellEnd"/>
      <w:r w:rsidRPr="00592B91">
        <w:t xml:space="preserve"> </w:t>
      </w:r>
      <w:proofErr w:type="spellStart"/>
      <w:r w:rsidRPr="00592B91">
        <w:t>ethoxylates</w:t>
      </w:r>
      <w:proofErr w:type="spellEnd"/>
      <w:r w:rsidRPr="00592B91">
        <w:t>; and tetrachloroethylene.</w:t>
      </w:r>
      <w:r w:rsidR="00570775" w:rsidRPr="00592B91">
        <w:t xml:space="preserve">  According to the letter, the NGOs evaluated EPA’s TSCA Work Plan list with the goal of achieving the earliest maximum benefit to public health and the environment.  The TSCA amendments require EPA to select ten chemicals from the TSCA Work Plan for review.</w:t>
      </w:r>
    </w:p>
    <w:p w:rsidR="00E74E3F" w:rsidRPr="00592B91" w:rsidRDefault="00E74E3F" w:rsidP="009408F2">
      <w:pPr>
        <w:widowControl/>
      </w:pPr>
    </w:p>
    <w:p w:rsidR="002144D8" w:rsidRPr="00592B91" w:rsidRDefault="002144D8" w:rsidP="009408F2">
      <w:pPr>
        <w:rPr>
          <w:b/>
        </w:rPr>
      </w:pPr>
      <w:r w:rsidRPr="00592B91">
        <w:rPr>
          <w:b/>
        </w:rPr>
        <w:t xml:space="preserve">EPA Seeks Nominations </w:t>
      </w:r>
      <w:proofErr w:type="gramStart"/>
      <w:r w:rsidRPr="00592B91">
        <w:rPr>
          <w:b/>
        </w:rPr>
        <w:t>For</w:t>
      </w:r>
      <w:proofErr w:type="gramEnd"/>
      <w:r w:rsidRPr="00592B91">
        <w:rPr>
          <w:b/>
        </w:rPr>
        <w:t xml:space="preserve"> Science Advisory Committee On Chemicals</w:t>
      </w:r>
    </w:p>
    <w:p w:rsidR="002144D8" w:rsidRPr="00592B91" w:rsidRDefault="002144D8" w:rsidP="009408F2"/>
    <w:p w:rsidR="002144D8" w:rsidRPr="00592B91" w:rsidRDefault="002144D8" w:rsidP="009408F2">
      <w:r w:rsidRPr="00592B91">
        <w:t xml:space="preserve">On August 26, 2016, EPA published a </w:t>
      </w:r>
      <w:r w:rsidRPr="00592B91">
        <w:rPr>
          <w:i/>
        </w:rPr>
        <w:t>Federal Register</w:t>
      </w:r>
      <w:r w:rsidRPr="00592B91">
        <w:t xml:space="preserve"> notice giving notice that, pursuant to the Frank R. Lautenberg Chemical Safety for the 21st Century Act, EPA is establishing the Science Advisory Committee on Chemicals.  EPA states that the purpose of the Committee is to provide independent advice and expert consultation, at the request of the EPA Administrator, with respect to the scientific and technical aspects of risk assessments, methodologies, and pollution prevention measures or approaches supporting implementation of the Act.  According to the notice, nine of the 14 members of the Committee will potentially be selected from interested and available members of the existing EPA Chemical Safety Advisory Committee.  In addition, EPA anticipates selecting five new members for the Science Advisory Committee on Chemicals, and invites the public to nominate experts to be considered.  Nominations and comments are due </w:t>
      </w:r>
      <w:r w:rsidRPr="00592B91">
        <w:rPr>
          <w:b/>
        </w:rPr>
        <w:t>October 11, 2016</w:t>
      </w:r>
      <w:r w:rsidRPr="00592B91">
        <w:t>.</w:t>
      </w:r>
    </w:p>
    <w:p w:rsidR="002144D8" w:rsidRPr="00592B91" w:rsidRDefault="002144D8" w:rsidP="009408F2"/>
    <w:p w:rsidR="006377C5" w:rsidRPr="00592B91" w:rsidRDefault="006377C5" w:rsidP="009408F2">
      <w:pPr>
        <w:rPr>
          <w:b/>
        </w:rPr>
      </w:pPr>
      <w:r w:rsidRPr="00592B91">
        <w:rPr>
          <w:b/>
        </w:rPr>
        <w:t xml:space="preserve">NIH Will Investigate Environmental Influences </w:t>
      </w:r>
      <w:proofErr w:type="gramStart"/>
      <w:r w:rsidRPr="00592B91">
        <w:rPr>
          <w:b/>
        </w:rPr>
        <w:t>On</w:t>
      </w:r>
      <w:proofErr w:type="gramEnd"/>
      <w:r w:rsidRPr="00592B91">
        <w:rPr>
          <w:b/>
        </w:rPr>
        <w:t xml:space="preserve"> Child Health</w:t>
      </w:r>
    </w:p>
    <w:p w:rsidR="006377C5" w:rsidRPr="00592B91" w:rsidRDefault="006377C5" w:rsidP="009408F2"/>
    <w:p w:rsidR="00C86C76" w:rsidRPr="00592B91" w:rsidRDefault="006377C5" w:rsidP="009408F2">
      <w:r w:rsidRPr="00592B91">
        <w:t xml:space="preserve">NIH </w:t>
      </w:r>
      <w:hyperlink r:id="rId12" w:history="1">
        <w:r w:rsidRPr="00592B91">
          <w:rPr>
            <w:rStyle w:val="Hyperlink"/>
          </w:rPr>
          <w:t>announced</w:t>
        </w:r>
      </w:hyperlink>
      <w:r w:rsidRPr="00592B91">
        <w:t xml:space="preserve"> on September 21, 2016, $157 million in awards in </w:t>
      </w:r>
      <w:r w:rsidR="00D17C70" w:rsidRPr="00592B91">
        <w:t>FY</w:t>
      </w:r>
      <w:r w:rsidRPr="00592B91">
        <w:t xml:space="preserve"> </w:t>
      </w:r>
      <w:r w:rsidRPr="00592B91">
        <w:rPr>
          <w:b/>
        </w:rPr>
        <w:t>2016</w:t>
      </w:r>
      <w:r w:rsidRPr="00592B91">
        <w:t xml:space="preserve"> to launch </w:t>
      </w:r>
      <w:r w:rsidR="00D17C70" w:rsidRPr="00592B91">
        <w:t>ECH</w:t>
      </w:r>
      <w:r w:rsidR="00C364A9" w:rsidRPr="00592B91">
        <w:t>O, a</w:t>
      </w:r>
      <w:r w:rsidR="00D17C70" w:rsidRPr="00592B91">
        <w:t xml:space="preserve"> </w:t>
      </w:r>
      <w:r w:rsidRPr="00592B91">
        <w:t xml:space="preserve">seven-year initiative </w:t>
      </w:r>
      <w:r w:rsidR="00C364A9" w:rsidRPr="00592B91">
        <w:t xml:space="preserve">that </w:t>
      </w:r>
      <w:r w:rsidRPr="00592B91">
        <w:t xml:space="preserve">will investigate how exposure to a range of environmental factors in early development </w:t>
      </w:r>
      <w:r w:rsidR="00D17C70" w:rsidRPr="00592B91">
        <w:t xml:space="preserve">-- </w:t>
      </w:r>
      <w:r w:rsidRPr="00592B91">
        <w:t xml:space="preserve">from conception through early childhood </w:t>
      </w:r>
      <w:r w:rsidR="00D17C70" w:rsidRPr="00592B91">
        <w:t xml:space="preserve">-- </w:t>
      </w:r>
      <w:r w:rsidRPr="00592B91">
        <w:t>influences the health of children and adolescents.</w:t>
      </w:r>
      <w:r w:rsidR="00D17C70" w:rsidRPr="00592B91">
        <w:t xml:space="preserve">  According to NIH, the research </w:t>
      </w:r>
      <w:r w:rsidRPr="00592B91">
        <w:t>will focus on factors that may influence health outcomes around the time of birth</w:t>
      </w:r>
      <w:r w:rsidR="00D17C70" w:rsidRPr="00592B91">
        <w:t>,</w:t>
      </w:r>
      <w:r w:rsidRPr="00592B91">
        <w:t xml:space="preserve"> as well as into later childhood and adolescence, including upper and lower airway health and development, obesity, and brain and nervous system development. </w:t>
      </w:r>
      <w:r w:rsidR="00D17C70" w:rsidRPr="00592B91">
        <w:t xml:space="preserve"> </w:t>
      </w:r>
      <w:r w:rsidRPr="00592B91">
        <w:t xml:space="preserve">A critical component of ECHO will be to use the NIH-funded Institutional Development Awards </w:t>
      </w:r>
      <w:r w:rsidR="00C364A9" w:rsidRPr="00592B91">
        <w:t>P</w:t>
      </w:r>
      <w:r w:rsidRPr="00592B91">
        <w:t>rogram to build state-of-the art pediatric clinical research networks in rural and medically underserved areas, so that children from these communities can participate in clinical trials.</w:t>
      </w:r>
      <w:r w:rsidR="00C364A9" w:rsidRPr="00592B91">
        <w:t xml:space="preserve">  An NIH spokesperson stated that the goals of ECHO are the same as the National Children’s Study</w:t>
      </w:r>
      <w:r w:rsidR="00CA360B" w:rsidRPr="00592B91">
        <w:t>, which would have followed 100,000 children from womb through age 21.  NIH Director Francis Collins terminated the study in 2014, however, after advisers concluded that it would not be feasible.</w:t>
      </w:r>
    </w:p>
    <w:p w:rsidR="006377C5" w:rsidRPr="00592B91" w:rsidRDefault="006377C5" w:rsidP="009408F2"/>
    <w:p w:rsidR="00C86C76" w:rsidRPr="00592B91" w:rsidRDefault="005B6704" w:rsidP="002A052A">
      <w:pPr>
        <w:keepNext/>
        <w:keepLines/>
        <w:widowControl/>
        <w:jc w:val="center"/>
        <w:rPr>
          <w:b/>
        </w:rPr>
      </w:pPr>
      <w:r w:rsidRPr="00592B91">
        <w:rPr>
          <w:b/>
        </w:rPr>
        <w:lastRenderedPageBreak/>
        <w:t>MINING AND MINERAL ISSUES</w:t>
      </w:r>
    </w:p>
    <w:p w:rsidR="00C86C76" w:rsidRPr="00592B91" w:rsidRDefault="00C86C76" w:rsidP="002A052A">
      <w:pPr>
        <w:keepNext/>
        <w:keepLines/>
        <w:widowControl/>
      </w:pPr>
    </w:p>
    <w:p w:rsidR="00EF00A4" w:rsidRPr="00592B91" w:rsidRDefault="00EF00A4" w:rsidP="009408F2">
      <w:pPr>
        <w:rPr>
          <w:b/>
        </w:rPr>
      </w:pPr>
      <w:r w:rsidRPr="00592B91">
        <w:rPr>
          <w:b/>
        </w:rPr>
        <w:t xml:space="preserve">Financial CHOICE Act Would Repeal Rules Requiring Disclosures </w:t>
      </w:r>
      <w:r w:rsidR="00ED1393" w:rsidRPr="00592B91">
        <w:rPr>
          <w:b/>
        </w:rPr>
        <w:t xml:space="preserve">Concerning Conflict Minerals, Mine Safety, And </w:t>
      </w:r>
      <w:r w:rsidRPr="00592B91">
        <w:rPr>
          <w:b/>
        </w:rPr>
        <w:t>Extractive Industries</w:t>
      </w:r>
    </w:p>
    <w:p w:rsidR="00EF00A4" w:rsidRPr="00592B91" w:rsidRDefault="00EF00A4" w:rsidP="009408F2"/>
    <w:p w:rsidR="00C86C76" w:rsidRPr="00592B91" w:rsidRDefault="00EA0C90" w:rsidP="009408F2">
      <w:r w:rsidRPr="00592B91">
        <w:t xml:space="preserve">On September 9, 2016, Representative Job </w:t>
      </w:r>
      <w:proofErr w:type="spellStart"/>
      <w:r w:rsidRPr="00592B91">
        <w:t>Hensarling</w:t>
      </w:r>
      <w:proofErr w:type="spellEnd"/>
      <w:r w:rsidRPr="00592B91">
        <w:t xml:space="preserve"> (R-TX)</w:t>
      </w:r>
      <w:r w:rsidR="008B3E11" w:rsidRPr="00592B91">
        <w:t xml:space="preserve">, Chair of the </w:t>
      </w:r>
      <w:r w:rsidR="000C60FB" w:rsidRPr="00592B91">
        <w:t>House</w:t>
      </w:r>
      <w:r w:rsidR="008B3E11" w:rsidRPr="00592B91">
        <w:t xml:space="preserve"> Financial Services Committee,</w:t>
      </w:r>
      <w:r w:rsidRPr="00592B91">
        <w:t xml:space="preserve"> introduced the Financial Creating Hope and Opportunity for Investors, Consumers, and Entrepreneurs (CHOICE) Act</w:t>
      </w:r>
      <w:r w:rsidR="00EF00A4" w:rsidRPr="00592B91">
        <w:t xml:space="preserve"> (H.R. 5983).  The bill would repeal </w:t>
      </w:r>
      <w:r w:rsidR="00FA3321" w:rsidRPr="00592B91">
        <w:t xml:space="preserve">certain sections of the </w:t>
      </w:r>
      <w:r w:rsidR="00932912" w:rsidRPr="00592B91">
        <w:t>Dodd-Frank Act, including Section</w:t>
      </w:r>
      <w:r w:rsidR="00ED1393" w:rsidRPr="00592B91">
        <w:t>s</w:t>
      </w:r>
      <w:r w:rsidR="00932912" w:rsidRPr="00592B91">
        <w:t xml:space="preserve"> 1502</w:t>
      </w:r>
      <w:r w:rsidR="00ED1393" w:rsidRPr="00592B91">
        <w:t xml:space="preserve">, 1503, and 1504, which concern disclosure requirements related to conflict minerals, mine safety, and extractive industries.  </w:t>
      </w:r>
      <w:r w:rsidR="008B3E11" w:rsidRPr="00592B91">
        <w:t xml:space="preserve">On September 13, 2016, the Committee approved the bill by a vote of 30-26.  </w:t>
      </w:r>
      <w:r w:rsidR="00ED1393" w:rsidRPr="00592B91">
        <w:t xml:space="preserve">The House Financial Services Committee created a </w:t>
      </w:r>
      <w:hyperlink r:id="rId13" w:history="1">
        <w:r w:rsidR="00ED1393" w:rsidRPr="00592B91">
          <w:rPr>
            <w:rStyle w:val="Hyperlink"/>
          </w:rPr>
          <w:t>web page</w:t>
        </w:r>
      </w:hyperlink>
      <w:r w:rsidR="00ED1393" w:rsidRPr="00592B91">
        <w:t xml:space="preserve"> concerning the Financial CHOICE Act, which includes a </w:t>
      </w:r>
      <w:hyperlink r:id="rId14" w:history="1">
        <w:r w:rsidR="00ED1393" w:rsidRPr="00592B91">
          <w:rPr>
            <w:rStyle w:val="Hyperlink"/>
          </w:rPr>
          <w:t>Comprehensive Summary</w:t>
        </w:r>
      </w:hyperlink>
      <w:r w:rsidR="00ED1393" w:rsidRPr="00592B91">
        <w:t>.  More information about the bill is available in our July 28, 2016, Update.</w:t>
      </w:r>
    </w:p>
    <w:p w:rsidR="00EA0C90" w:rsidRPr="00592B91" w:rsidRDefault="00EA0C90" w:rsidP="009408F2"/>
    <w:p w:rsidR="00C86C76" w:rsidRPr="00592B91" w:rsidRDefault="005B6704" w:rsidP="009408F2">
      <w:pPr>
        <w:widowControl/>
        <w:rPr>
          <w:b/>
        </w:rPr>
      </w:pPr>
      <w:r w:rsidRPr="00592B91">
        <w:rPr>
          <w:b/>
        </w:rPr>
        <w:t>Gold King Mine Spill</w:t>
      </w:r>
    </w:p>
    <w:p w:rsidR="00C86C76" w:rsidRPr="00592B91" w:rsidRDefault="00C86C76" w:rsidP="009408F2">
      <w:pPr>
        <w:widowControl/>
      </w:pPr>
    </w:p>
    <w:p w:rsidR="006E658D" w:rsidRPr="00592B91" w:rsidRDefault="006E658D" w:rsidP="009408F2">
      <w:pPr>
        <w:widowControl/>
        <w:rPr>
          <w:b/>
          <w:i/>
        </w:rPr>
      </w:pPr>
      <w:r w:rsidRPr="00592B91">
        <w:rPr>
          <w:b/>
          <w:i/>
        </w:rPr>
        <w:t xml:space="preserve">OIG Pauses Program Evaluation </w:t>
      </w:r>
      <w:proofErr w:type="gramStart"/>
      <w:r w:rsidRPr="00592B91">
        <w:rPr>
          <w:b/>
          <w:i/>
        </w:rPr>
        <w:t>Of</w:t>
      </w:r>
      <w:proofErr w:type="gramEnd"/>
      <w:r w:rsidRPr="00592B91">
        <w:rPr>
          <w:b/>
          <w:i/>
        </w:rPr>
        <w:t xml:space="preserve"> Gold King Mine Spill, Continues Criminal Investigation</w:t>
      </w:r>
    </w:p>
    <w:p w:rsidR="006E658D" w:rsidRPr="00592B91" w:rsidRDefault="006E658D" w:rsidP="009408F2">
      <w:pPr>
        <w:widowControl/>
      </w:pPr>
    </w:p>
    <w:p w:rsidR="006E658D" w:rsidRPr="00592B91" w:rsidRDefault="006E658D" w:rsidP="009408F2">
      <w:r w:rsidRPr="00592B91">
        <w:t xml:space="preserve">EPA’s OIG </w:t>
      </w:r>
      <w:hyperlink r:id="rId15" w:history="1">
        <w:r w:rsidRPr="00592B91">
          <w:rPr>
            <w:rStyle w:val="Hyperlink"/>
          </w:rPr>
          <w:t>announced</w:t>
        </w:r>
      </w:hyperlink>
      <w:r w:rsidRPr="00592B91">
        <w:t xml:space="preserve"> on July 29, 2016, that due to high public interest in the Gold King Mine release of water containing heavy metals into a tributary to the Animas River in August 2015, it posted to its website letters recently sent to Congressional members regarding the status of the OIG’s related work.  Based on requests from several members of the House and Senate, OIG is conducting both a program evaluation and a criminal investigation of the Gold King Mine spill.  In letters to those members, OIG stated that “there is investigative material that we cannot reveal in any report about our program evaluation until the investigation reaches a point where the U.S. Department of Justice and the EPA’s OIG’s Office of Investigations inform us that we may do so.  Many of your questions to us, including those that go to the heart of what you asked us to address, directly implicate and will have to be answered in part by investigative results that are not currently releasable.”  OIG states that it plans to prepare the final program evaluation report once it can incorporate investigative results.  OIG notes that its criminal investigation of the Gold King Mine spill “is still ongoing.”</w:t>
      </w:r>
    </w:p>
    <w:p w:rsidR="006E658D" w:rsidRPr="00592B91" w:rsidRDefault="006E658D" w:rsidP="009408F2"/>
    <w:p w:rsidR="00E87D78" w:rsidRPr="00592B91" w:rsidRDefault="00E87D78" w:rsidP="009408F2">
      <w:pPr>
        <w:rPr>
          <w:b/>
          <w:i/>
        </w:rPr>
      </w:pPr>
      <w:r w:rsidRPr="00592B91">
        <w:rPr>
          <w:b/>
          <w:i/>
        </w:rPr>
        <w:t xml:space="preserve">EPA Publishes Report </w:t>
      </w:r>
      <w:proofErr w:type="gramStart"/>
      <w:r w:rsidRPr="00592B91">
        <w:rPr>
          <w:b/>
          <w:i/>
        </w:rPr>
        <w:t>On</w:t>
      </w:r>
      <w:proofErr w:type="gramEnd"/>
      <w:r w:rsidRPr="00592B91">
        <w:rPr>
          <w:b/>
          <w:i/>
        </w:rPr>
        <w:t xml:space="preserve"> Efforts To Restore And Protect Impacted Communities</w:t>
      </w:r>
    </w:p>
    <w:p w:rsidR="00E87D78" w:rsidRPr="00592B91" w:rsidRDefault="00E87D78" w:rsidP="009408F2"/>
    <w:p w:rsidR="00E87D78" w:rsidRPr="00592B91" w:rsidRDefault="00E87D78" w:rsidP="009408F2">
      <w:r w:rsidRPr="00592B91">
        <w:t xml:space="preserve">EPA published an August 1, 2016, report entitled </w:t>
      </w:r>
      <w:hyperlink r:id="rId16" w:history="1">
        <w:r w:rsidRPr="00592B91">
          <w:rPr>
            <w:rStyle w:val="Hyperlink"/>
            <w:i/>
          </w:rPr>
          <w:t xml:space="preserve">One Year </w:t>
        </w:r>
        <w:proofErr w:type="gramStart"/>
        <w:r w:rsidRPr="00592B91">
          <w:rPr>
            <w:rStyle w:val="Hyperlink"/>
            <w:i/>
          </w:rPr>
          <w:t>After</w:t>
        </w:r>
        <w:proofErr w:type="gramEnd"/>
        <w:r w:rsidRPr="00592B91">
          <w:rPr>
            <w:rStyle w:val="Hyperlink"/>
            <w:i/>
          </w:rPr>
          <w:t xml:space="preserve"> the Gold King Mine Incident:  A Retrospective of EPA’s Efforts To Restore and Protect Impacted Communities</w:t>
        </w:r>
      </w:hyperlink>
      <w:r w:rsidRPr="00592B91">
        <w:t>.  In an August 1, 2016, blog item entitled “</w:t>
      </w:r>
      <w:hyperlink r:id="rId17" w:history="1">
        <w:r w:rsidRPr="00592B91">
          <w:rPr>
            <w:rStyle w:val="Hyperlink"/>
          </w:rPr>
          <w:t>A Reflection on the Gold King Mine Incident</w:t>
        </w:r>
      </w:hyperlink>
      <w:r w:rsidRPr="00592B91">
        <w:t xml:space="preserve">,” </w:t>
      </w:r>
      <w:proofErr w:type="spellStart"/>
      <w:r w:rsidRPr="00592B91">
        <w:t>Mathy</w:t>
      </w:r>
      <w:proofErr w:type="spellEnd"/>
      <w:r w:rsidRPr="00592B91">
        <w:t xml:space="preserve"> Stanislaus, Assistant Administrator for EPA’s Office of Land and Emergency Management, states that the report details EPA’s efforts, including the projects and groups that EPA has funded, to protect the areas around the Gold King Mine and prevent a similar spill from happening at other EPA work sites at mines across the country.  According to Stanislaus, EPA continues to be accountable for the release, which Stanislaus states occurred as a result of its work to investigate </w:t>
      </w:r>
      <w:r w:rsidRPr="00592B91">
        <w:lastRenderedPageBreak/>
        <w:t xml:space="preserve">the mine.  Since the accident, EPA has dedicated more than $29 million to respond to the release and to provide for continued monitoring in the area.  Stanislaus states:  “The legacy of abandoned </w:t>
      </w:r>
      <w:proofErr w:type="spellStart"/>
      <w:r w:rsidRPr="00592B91">
        <w:t>hardrock</w:t>
      </w:r>
      <w:proofErr w:type="spellEnd"/>
      <w:r w:rsidRPr="00592B91">
        <w:t xml:space="preserve"> mines continues to be a source of complex challenges for our and the other federal and state agencies working to address this impact over the long-term. . . . We are strongly committed to working together to achieve long-term solutions to prevent future releases and protect our vital water resources.”</w:t>
      </w:r>
    </w:p>
    <w:p w:rsidR="00E87D78" w:rsidRPr="00592B91" w:rsidRDefault="00E87D78" w:rsidP="009408F2"/>
    <w:p w:rsidR="00E87D78" w:rsidRPr="00592B91" w:rsidRDefault="00E87D78" w:rsidP="009408F2">
      <w:pPr>
        <w:rPr>
          <w:b/>
          <w:i/>
        </w:rPr>
      </w:pPr>
      <w:bookmarkStart w:id="39" w:name="_EPA_Provides_$602,000"/>
      <w:bookmarkEnd w:id="39"/>
      <w:r w:rsidRPr="00592B91">
        <w:rPr>
          <w:b/>
          <w:i/>
        </w:rPr>
        <w:t xml:space="preserve">EPA Provides $602,000 </w:t>
      </w:r>
      <w:proofErr w:type="gramStart"/>
      <w:r w:rsidRPr="00592B91">
        <w:rPr>
          <w:b/>
          <w:i/>
        </w:rPr>
        <w:t>To</w:t>
      </w:r>
      <w:proofErr w:type="gramEnd"/>
      <w:r w:rsidRPr="00592B91">
        <w:rPr>
          <w:b/>
          <w:i/>
        </w:rPr>
        <w:t xml:space="preserve"> Navajo Nation Government For Gold King Mine Response Costs</w:t>
      </w:r>
    </w:p>
    <w:p w:rsidR="00E87D78" w:rsidRPr="00592B91" w:rsidRDefault="00E87D78" w:rsidP="009408F2"/>
    <w:p w:rsidR="00E87D78" w:rsidRPr="00592B91" w:rsidRDefault="00E87D78" w:rsidP="009408F2">
      <w:r w:rsidRPr="00592B91">
        <w:t xml:space="preserve">EPA announced on August 5, 2016, that it is awarding more than $445,000 to reimburse the Navajo Nation for response costs for actions associated with the August 5, 2015, Gold King Mine release.  This is in addition to $157,000 awarded in March 2016.  According to EPA, the funds include costs incurred for various activities associated with the release response, including field evaluations, water quality sampling, laboratory analyses, and personnel.  EPA states that it continues to evaluate state, tribal, and local response costs and has reimbursed approximately $3 million to date through cooperative agreements established with partners. </w:t>
      </w:r>
    </w:p>
    <w:p w:rsidR="00E87D78" w:rsidRPr="00592B91" w:rsidRDefault="00E87D78" w:rsidP="009408F2"/>
    <w:p w:rsidR="002144D8" w:rsidRPr="00592B91" w:rsidRDefault="002144D8" w:rsidP="009408F2">
      <w:pPr>
        <w:rPr>
          <w:b/>
          <w:i/>
        </w:rPr>
      </w:pPr>
      <w:r w:rsidRPr="00592B91">
        <w:rPr>
          <w:b/>
          <w:i/>
        </w:rPr>
        <w:t xml:space="preserve">Navajo Nation Files Suit </w:t>
      </w:r>
      <w:proofErr w:type="gramStart"/>
      <w:r w:rsidRPr="00592B91">
        <w:rPr>
          <w:b/>
          <w:i/>
        </w:rPr>
        <w:t>Against</w:t>
      </w:r>
      <w:proofErr w:type="gramEnd"/>
      <w:r w:rsidRPr="00592B91">
        <w:rPr>
          <w:b/>
          <w:i/>
        </w:rPr>
        <w:t xml:space="preserve"> EPA And Other Co-Defendants</w:t>
      </w:r>
    </w:p>
    <w:p w:rsidR="002144D8" w:rsidRPr="00592B91" w:rsidRDefault="002144D8" w:rsidP="009408F2"/>
    <w:p w:rsidR="002144D8" w:rsidRPr="00592B91" w:rsidRDefault="002144D8" w:rsidP="009408F2">
      <w:r w:rsidRPr="00592B91">
        <w:t xml:space="preserve">On August 16, 2016, the Navajo Nation filed suit in the U.S. District Court for the District of New Mexico against EPA and multiple co-defendants.  </w:t>
      </w:r>
      <w:r w:rsidRPr="00592B91">
        <w:rPr>
          <w:i/>
        </w:rPr>
        <w:t>Navajo Nation v. EPA</w:t>
      </w:r>
      <w:r w:rsidRPr="00592B91">
        <w:t xml:space="preserve">, No. 1:16-cv-00931.  The Navajo Nation claims that the Gold King Mine spill caused long-term and perhaps irreparable damage to the tribe’s agriculture, religious customs, and way of life.  The complaint asks that the court enter an order and </w:t>
      </w:r>
      <w:proofErr w:type="gramStart"/>
      <w:r w:rsidRPr="00592B91">
        <w:t>judgment against all defendants who it claims are</w:t>
      </w:r>
      <w:proofErr w:type="gramEnd"/>
      <w:r w:rsidRPr="00592B91">
        <w:t xml:space="preserve"> jointly and severally liable under CERCLA for all costs incurred by the tribe in responding to the release.</w:t>
      </w:r>
    </w:p>
    <w:p w:rsidR="00C86C76" w:rsidRPr="00592B91" w:rsidRDefault="00C86C76" w:rsidP="009408F2">
      <w:pPr>
        <w:tabs>
          <w:tab w:val="left" w:pos="2025"/>
        </w:tabs>
      </w:pPr>
    </w:p>
    <w:p w:rsidR="00C86C76" w:rsidRPr="00592B91" w:rsidRDefault="005B6704" w:rsidP="009408F2">
      <w:pPr>
        <w:widowControl/>
        <w:jc w:val="center"/>
        <w:rPr>
          <w:b/>
        </w:rPr>
      </w:pPr>
      <w:bookmarkStart w:id="40" w:name="_House_Committee_Claims"/>
      <w:bookmarkEnd w:id="40"/>
      <w:r w:rsidRPr="00592B91">
        <w:rPr>
          <w:b/>
        </w:rPr>
        <w:t>MISCELLANEOUS ISSUES</w:t>
      </w:r>
    </w:p>
    <w:p w:rsidR="00C86C76" w:rsidRPr="00592B91" w:rsidRDefault="00C86C76" w:rsidP="009408F2"/>
    <w:p w:rsidR="002144D8" w:rsidRPr="00592B91" w:rsidRDefault="002144D8" w:rsidP="009408F2">
      <w:pPr>
        <w:tabs>
          <w:tab w:val="left" w:pos="1950"/>
        </w:tabs>
        <w:rPr>
          <w:b/>
        </w:rPr>
      </w:pPr>
      <w:r w:rsidRPr="005427BD">
        <w:rPr>
          <w:b/>
          <w:highlight w:val="yellow"/>
        </w:rPr>
        <w:t xml:space="preserve">OSHA </w:t>
      </w:r>
      <w:proofErr w:type="gramStart"/>
      <w:r w:rsidRPr="005427BD">
        <w:rPr>
          <w:b/>
          <w:highlight w:val="yellow"/>
        </w:rPr>
        <w:t>And</w:t>
      </w:r>
      <w:proofErr w:type="gramEnd"/>
      <w:r w:rsidRPr="005427BD">
        <w:rPr>
          <w:b/>
          <w:highlight w:val="yellow"/>
        </w:rPr>
        <w:t xml:space="preserve"> </w:t>
      </w:r>
      <w:r w:rsidR="00DD43BD" w:rsidRPr="005427BD">
        <w:rPr>
          <w:b/>
          <w:highlight w:val="yellow"/>
        </w:rPr>
        <w:t>HC</w:t>
      </w:r>
      <w:r w:rsidRPr="005427BD">
        <w:rPr>
          <w:b/>
          <w:highlight w:val="yellow"/>
        </w:rPr>
        <w:t xml:space="preserve"> Plan To Align Labeling And Classification Requirements For Hazardous Workplace Chemicals</w:t>
      </w:r>
    </w:p>
    <w:p w:rsidR="002144D8" w:rsidRPr="00592B91" w:rsidRDefault="002144D8" w:rsidP="009408F2">
      <w:pPr>
        <w:tabs>
          <w:tab w:val="left" w:pos="1950"/>
        </w:tabs>
      </w:pPr>
    </w:p>
    <w:p w:rsidR="002144D8" w:rsidRPr="00592B91" w:rsidRDefault="002144D8" w:rsidP="009408F2">
      <w:pPr>
        <w:pStyle w:val="NormalWeb"/>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On September 1, 2016, OSHA announced that it jointly developed with </w:t>
      </w:r>
      <w:r w:rsidR="00DD43BD" w:rsidRPr="00592B91">
        <w:rPr>
          <w:rFonts w:ascii="Times New Roman" w:hAnsi="Times New Roman" w:cs="Times New Roman"/>
        </w:rPr>
        <w:t>HC</w:t>
      </w:r>
      <w:r w:rsidRPr="00592B91">
        <w:rPr>
          <w:rFonts w:ascii="Times New Roman" w:hAnsi="Times New Roman" w:cs="Times New Roman"/>
        </w:rPr>
        <w:t xml:space="preserve">, through the RCC, a </w:t>
      </w:r>
      <w:hyperlink r:id="rId18" w:history="1">
        <w:r w:rsidRPr="00592B91">
          <w:rPr>
            <w:rStyle w:val="Hyperlink"/>
            <w:rFonts w:cs="Times New Roman"/>
          </w:rPr>
          <w:t>2016-2017 Workplace Chemicals Work Plan</w:t>
        </w:r>
      </w:hyperlink>
      <w:r w:rsidRPr="00592B91">
        <w:rPr>
          <w:rFonts w:ascii="Times New Roman" w:hAnsi="Times New Roman" w:cs="Times New Roman"/>
        </w:rPr>
        <w:t>.  The purpose of the Work Plan is to ensure that current and future requirements for classifying and communicating the hazards of workplace chemicals will be acceptable in the U.S. and Canada without reducing worker safety.  The Work Plan involves activities that support:</w:t>
      </w:r>
    </w:p>
    <w:p w:rsidR="002144D8" w:rsidRPr="00592B91" w:rsidRDefault="002144D8" w:rsidP="009408F2">
      <w:pPr>
        <w:pStyle w:val="NormalWeb"/>
        <w:spacing w:before="0" w:beforeAutospacing="0" w:after="0" w:afterAutospacing="0"/>
        <w:jc w:val="both"/>
        <w:rPr>
          <w:rFonts w:ascii="Times New Roman" w:hAnsi="Times New Roman" w:cs="Times New Roman"/>
        </w:rPr>
      </w:pPr>
    </w:p>
    <w:p w:rsidR="002144D8" w:rsidRPr="00592B91" w:rsidRDefault="002144D8" w:rsidP="009408F2">
      <w:pPr>
        <w:pStyle w:val="NormalWeb"/>
        <w:numPr>
          <w:ilvl w:val="0"/>
          <w:numId w:val="17"/>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rPr>
        <w:t>Developing materials to assist stakeholders with implementing the GHS and understanding the interpretation of technical issues and requirements in Canada and the U.S.;</w:t>
      </w:r>
    </w:p>
    <w:p w:rsidR="002144D8" w:rsidRPr="00592B91" w:rsidRDefault="002144D8" w:rsidP="009408F2">
      <w:pPr>
        <w:pStyle w:val="NormalWeb"/>
        <w:spacing w:before="0" w:beforeAutospacing="0" w:after="0" w:afterAutospacing="0"/>
        <w:ind w:left="1440" w:right="720" w:hanging="720"/>
        <w:jc w:val="both"/>
        <w:rPr>
          <w:rFonts w:ascii="Times New Roman" w:hAnsi="Times New Roman" w:cs="Times New Roman"/>
        </w:rPr>
      </w:pPr>
    </w:p>
    <w:p w:rsidR="002144D8" w:rsidRPr="00592B91" w:rsidRDefault="002144D8" w:rsidP="002A052A">
      <w:pPr>
        <w:pStyle w:val="NormalWeb"/>
        <w:keepNext/>
        <w:keepLines/>
        <w:numPr>
          <w:ilvl w:val="0"/>
          <w:numId w:val="17"/>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rPr>
        <w:lastRenderedPageBreak/>
        <w:t>Coordinating opinions on issues that arise from international discussions on the GHS; and</w:t>
      </w:r>
    </w:p>
    <w:p w:rsidR="002144D8" w:rsidRPr="00592B91" w:rsidRDefault="002144D8" w:rsidP="009408F2">
      <w:pPr>
        <w:pStyle w:val="NormalWeb"/>
        <w:spacing w:before="0" w:beforeAutospacing="0" w:after="0" w:afterAutospacing="0"/>
        <w:ind w:left="1440" w:right="720" w:hanging="720"/>
        <w:jc w:val="both"/>
        <w:rPr>
          <w:rFonts w:ascii="Times New Roman" w:hAnsi="Times New Roman" w:cs="Times New Roman"/>
        </w:rPr>
      </w:pPr>
    </w:p>
    <w:p w:rsidR="002144D8" w:rsidRPr="00592B91" w:rsidRDefault="002144D8" w:rsidP="009408F2">
      <w:pPr>
        <w:pStyle w:val="NormalWeb"/>
        <w:numPr>
          <w:ilvl w:val="0"/>
          <w:numId w:val="17"/>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rPr>
        <w:t>Maintaining alignment between the U.S. and Canadian requirements for implementing the GHS when revisions are made.</w:t>
      </w:r>
    </w:p>
    <w:p w:rsidR="002144D8" w:rsidRPr="00592B91" w:rsidRDefault="002144D8" w:rsidP="009408F2">
      <w:pPr>
        <w:pStyle w:val="NormalWeb"/>
        <w:spacing w:before="0" w:beforeAutospacing="0" w:after="0" w:afterAutospacing="0"/>
        <w:jc w:val="both"/>
        <w:rPr>
          <w:rFonts w:ascii="Times New Roman" w:hAnsi="Times New Roman" w:cs="Times New Roman"/>
        </w:rPr>
      </w:pPr>
    </w:p>
    <w:p w:rsidR="00C86C76" w:rsidRPr="00592B91" w:rsidRDefault="005B6704" w:rsidP="009408F2">
      <w:pPr>
        <w:widowControl/>
        <w:jc w:val="center"/>
        <w:rPr>
          <w:b/>
        </w:rPr>
      </w:pPr>
      <w:r w:rsidRPr="00592B91">
        <w:rPr>
          <w:b/>
        </w:rPr>
        <w:t>STATE ISSUES</w:t>
      </w:r>
    </w:p>
    <w:p w:rsidR="00C86C76" w:rsidRPr="00592B91" w:rsidRDefault="00C86C76" w:rsidP="009408F2">
      <w:pPr>
        <w:widowControl/>
        <w:rPr>
          <w:color w:val="000000"/>
        </w:rPr>
      </w:pPr>
    </w:p>
    <w:p w:rsidR="00C86C76" w:rsidRPr="00592B91" w:rsidRDefault="005B6704" w:rsidP="009408F2">
      <w:pPr>
        <w:widowControl/>
        <w:jc w:val="center"/>
        <w:rPr>
          <w:b/>
          <w:i/>
        </w:rPr>
      </w:pPr>
      <w:r w:rsidRPr="00592B91">
        <w:rPr>
          <w:b/>
          <w:i/>
        </w:rPr>
        <w:t>California</w:t>
      </w:r>
    </w:p>
    <w:p w:rsidR="00C86C76" w:rsidRPr="00592B91" w:rsidRDefault="00C86C76" w:rsidP="009408F2">
      <w:pPr>
        <w:widowControl/>
      </w:pPr>
    </w:p>
    <w:p w:rsidR="003758FF" w:rsidRPr="00592B91" w:rsidRDefault="003758FF" w:rsidP="009408F2">
      <w:pPr>
        <w:rPr>
          <w:b/>
        </w:rPr>
      </w:pPr>
      <w:r w:rsidRPr="00592B91">
        <w:rPr>
          <w:b/>
        </w:rPr>
        <w:t xml:space="preserve">Amendments </w:t>
      </w:r>
      <w:proofErr w:type="gramStart"/>
      <w:r w:rsidRPr="00592B91">
        <w:rPr>
          <w:b/>
        </w:rPr>
        <w:t>To</w:t>
      </w:r>
      <w:proofErr w:type="gramEnd"/>
      <w:r w:rsidRPr="00592B91">
        <w:rPr>
          <w:b/>
        </w:rPr>
        <w:t xml:space="preserve"> Clear And Reasonable Warnings Regulation Will Be Effective August 30, 2018</w:t>
      </w:r>
    </w:p>
    <w:p w:rsidR="003758FF" w:rsidRPr="00592B91" w:rsidRDefault="003758FF" w:rsidP="009408F2"/>
    <w:p w:rsidR="003758FF" w:rsidRPr="00592B91" w:rsidRDefault="003758FF" w:rsidP="009408F2">
      <w:r w:rsidRPr="00592B91">
        <w:t xml:space="preserve">OEHHA </w:t>
      </w:r>
      <w:hyperlink r:id="rId19" w:history="1">
        <w:r w:rsidRPr="00592B91">
          <w:rPr>
            <w:rStyle w:val="Hyperlink"/>
          </w:rPr>
          <w:t>announced</w:t>
        </w:r>
      </w:hyperlink>
      <w:r w:rsidRPr="00592B91">
        <w:t xml:space="preserve"> on September 2, 2016, that OAL approved the adoption of amendments to CCR Article 6, Clear and Reasonable Warnings.  The amendments repeal all the regulatory provisions of Article 6 except those added via an emergency rulemaking in April 2016 related to warnings for exposures to BPA in canned foods and beverages.  The amendments replace the repealed sections with a new regulation divided into two new </w:t>
      </w:r>
      <w:proofErr w:type="spellStart"/>
      <w:r w:rsidRPr="00592B91">
        <w:t>Subarticles</w:t>
      </w:r>
      <w:proofErr w:type="spellEnd"/>
      <w:r w:rsidRPr="00592B91">
        <w:t xml:space="preserve"> to Article 6.  The repealed and new regulations provide, among other things, methods of transmission and content of warnings deemed to be compliant with Proposition 65.  The regulation will be operative on </w:t>
      </w:r>
      <w:r w:rsidRPr="00592B91">
        <w:rPr>
          <w:b/>
        </w:rPr>
        <w:t>August 30, 2018</w:t>
      </w:r>
      <w:r w:rsidRPr="00592B91">
        <w:t>.  OEHHA states that, in the interim, businesses may comply with the regulation in effect on August 30, 2016, or the provisions of the new regulation.  This is intended to allow for a reasonable transition period for businesses to begin providing warnings under the new provisions.</w:t>
      </w:r>
      <w:r w:rsidR="00A65AC9" w:rsidRPr="00592B91">
        <w:t xml:space="preserve">  More information is available in B&amp;C</w:t>
      </w:r>
      <w:r w:rsidR="00A65AC9" w:rsidRPr="00592B91">
        <w:rPr>
          <w:vertAlign w:val="superscript"/>
          <w:lang w:val="en"/>
        </w:rPr>
        <w:t>®</w:t>
      </w:r>
      <w:r w:rsidR="00A65AC9" w:rsidRPr="00592B91">
        <w:t>’s September 22, 2016, memorandum, “</w:t>
      </w:r>
      <w:hyperlink r:id="rId20" w:history="1">
        <w:r w:rsidR="00A65AC9" w:rsidRPr="00592B91">
          <w:rPr>
            <w:rStyle w:val="Hyperlink"/>
          </w:rPr>
          <w:t>OEHHA Adopts Revisions to Its Proposition 65 Warning Regulations</w:t>
        </w:r>
      </w:hyperlink>
      <w:r w:rsidR="00A65AC9" w:rsidRPr="00592B91">
        <w:t>.”</w:t>
      </w:r>
    </w:p>
    <w:p w:rsidR="003758FF" w:rsidRPr="00592B91" w:rsidRDefault="003758FF" w:rsidP="009408F2"/>
    <w:p w:rsidR="008A5018" w:rsidRPr="00592B91" w:rsidRDefault="008A5018" w:rsidP="009408F2">
      <w:pPr>
        <w:jc w:val="center"/>
        <w:rPr>
          <w:b/>
          <w:i/>
        </w:rPr>
      </w:pPr>
      <w:r w:rsidRPr="00592B91">
        <w:rPr>
          <w:b/>
          <w:i/>
        </w:rPr>
        <w:t>Maine</w:t>
      </w:r>
    </w:p>
    <w:p w:rsidR="008A5018" w:rsidRPr="00592B91" w:rsidRDefault="008A5018" w:rsidP="009408F2"/>
    <w:p w:rsidR="008A5018" w:rsidRPr="00592B91" w:rsidRDefault="004D6A09" w:rsidP="009408F2">
      <w:pPr>
        <w:rPr>
          <w:b/>
        </w:rPr>
      </w:pPr>
      <w:r w:rsidRPr="00592B91">
        <w:rPr>
          <w:b/>
        </w:rPr>
        <w:t>MDEP Proposes New Mining Rule</w:t>
      </w:r>
    </w:p>
    <w:p w:rsidR="004D6A09" w:rsidRPr="00592B91" w:rsidRDefault="004D6A09" w:rsidP="009408F2"/>
    <w:p w:rsidR="004D6A09" w:rsidRPr="00592B91" w:rsidRDefault="004D6A09" w:rsidP="009408F2">
      <w:r w:rsidRPr="00592B91">
        <w:t xml:space="preserve">MDEP is </w:t>
      </w:r>
      <w:hyperlink r:id="rId21" w:anchor="603931" w:history="1">
        <w:r w:rsidRPr="00592B91">
          <w:rPr>
            <w:rStyle w:val="Hyperlink"/>
          </w:rPr>
          <w:t>proposing</w:t>
        </w:r>
      </w:hyperlink>
      <w:r w:rsidRPr="00592B91">
        <w:t xml:space="preserve"> to promulgate a new mining rule that </w:t>
      </w:r>
      <w:r w:rsidR="006D4006" w:rsidRPr="00592B91">
        <w:t>would</w:t>
      </w:r>
      <w:r w:rsidRPr="00592B91">
        <w:t xml:space="preserve"> repeal and replace the existing regulations, and provide a comprehensive application and permitting process within the statutory framework for exploration, advanced exploration, and mining activities established in the Mining Act.  Under the proposal, exploration activities would not require a permit, but companies would instead submit a work plan and meet a number of performance standards designed to protect natural resources and properly restore the exploration site.  Advanced exploration activities, which involve more extensive sampling, would require an MDEP permit.  Under an advanced exploration mining permit, the on-site processing of samples would be limited to mechanical size alteration (crushing) and sorting. </w:t>
      </w:r>
      <w:r w:rsidR="006D4006" w:rsidRPr="00592B91">
        <w:t xml:space="preserve"> </w:t>
      </w:r>
      <w:r w:rsidRPr="00592B91">
        <w:t xml:space="preserve">Mining activities </w:t>
      </w:r>
      <w:r w:rsidR="006D4006" w:rsidRPr="00592B91">
        <w:t>that</w:t>
      </w:r>
      <w:r w:rsidRPr="00592B91">
        <w:t xml:space="preserve"> involve the excavation of 10,000 tons or more of material </w:t>
      </w:r>
      <w:r w:rsidR="006D4006" w:rsidRPr="00592B91">
        <w:t>would be</w:t>
      </w:r>
      <w:r w:rsidRPr="00592B91">
        <w:t xml:space="preserve"> subject to more extensive permitting requirements that include a quality assurance plan, monitoring plan, and reactive mine and haza</w:t>
      </w:r>
      <w:r w:rsidR="008D0A2A" w:rsidRPr="00592B91">
        <w:t>rdous materials monument plans.</w:t>
      </w:r>
    </w:p>
    <w:p w:rsidR="00652C98" w:rsidRPr="00592B91" w:rsidRDefault="00A94A2C" w:rsidP="002A052A">
      <w:pPr>
        <w:keepNext/>
        <w:keepLines/>
        <w:widowControl/>
        <w:jc w:val="center"/>
        <w:rPr>
          <w:b/>
          <w:i/>
        </w:rPr>
      </w:pPr>
      <w:r w:rsidRPr="00592B91">
        <w:rPr>
          <w:b/>
          <w:i/>
        </w:rPr>
        <w:lastRenderedPageBreak/>
        <w:t>Massachusetts</w:t>
      </w:r>
    </w:p>
    <w:p w:rsidR="00A94A2C" w:rsidRPr="00592B91" w:rsidRDefault="00A94A2C" w:rsidP="002A052A">
      <w:pPr>
        <w:keepNext/>
        <w:keepLines/>
        <w:widowControl/>
      </w:pPr>
    </w:p>
    <w:p w:rsidR="009469B9" w:rsidRPr="00592B91" w:rsidRDefault="009469B9" w:rsidP="002A052A">
      <w:pPr>
        <w:keepNext/>
        <w:keepLines/>
        <w:widowControl/>
        <w:rPr>
          <w:b/>
        </w:rPr>
      </w:pPr>
      <w:r w:rsidRPr="005427BD">
        <w:rPr>
          <w:b/>
          <w:highlight w:val="yellow"/>
        </w:rPr>
        <w:t xml:space="preserve">House Passes Bill </w:t>
      </w:r>
      <w:r w:rsidR="00B13DFC" w:rsidRPr="005427BD">
        <w:rPr>
          <w:b/>
          <w:highlight w:val="yellow"/>
        </w:rPr>
        <w:t>Requiring</w:t>
      </w:r>
      <w:r w:rsidRPr="005427BD">
        <w:rPr>
          <w:b/>
          <w:highlight w:val="yellow"/>
        </w:rPr>
        <w:t xml:space="preserve"> Children’s Jewelry</w:t>
      </w:r>
      <w:r w:rsidR="00B13DFC" w:rsidRPr="005427BD">
        <w:rPr>
          <w:b/>
          <w:highlight w:val="yellow"/>
        </w:rPr>
        <w:t xml:space="preserve"> </w:t>
      </w:r>
      <w:proofErr w:type="gramStart"/>
      <w:r w:rsidR="00B13DFC" w:rsidRPr="005427BD">
        <w:rPr>
          <w:b/>
          <w:highlight w:val="yellow"/>
        </w:rPr>
        <w:t>To Meet Requirements Of</w:t>
      </w:r>
      <w:proofErr w:type="gramEnd"/>
      <w:r w:rsidR="00B13DFC" w:rsidRPr="005427BD">
        <w:rPr>
          <w:b/>
          <w:highlight w:val="yellow"/>
        </w:rPr>
        <w:t xml:space="preserve"> ASTM F2923-14</w:t>
      </w:r>
    </w:p>
    <w:p w:rsidR="009469B9" w:rsidRPr="00592B91" w:rsidRDefault="009469B9" w:rsidP="009408F2"/>
    <w:p w:rsidR="00B13DFC" w:rsidRPr="00592B91" w:rsidRDefault="009469B9" w:rsidP="009408F2">
      <w:r w:rsidRPr="00592B91">
        <w:t xml:space="preserve">On August 4, 2016, the House passed H. 253, which would </w:t>
      </w:r>
      <w:r w:rsidR="00B13DFC" w:rsidRPr="00592B91">
        <w:t xml:space="preserve">require all children’s </w:t>
      </w:r>
      <w:r w:rsidR="000C60FB" w:rsidRPr="00592B91">
        <w:t>jewelry</w:t>
      </w:r>
      <w:r w:rsidR="00B13DFC" w:rsidRPr="00592B91">
        <w:t xml:space="preserve"> sold in Massachusetts to meet the requirements of ASTM F2923-14.  Children’s jewelry would be defined as </w:t>
      </w:r>
      <w:r w:rsidR="000C60FB" w:rsidRPr="00592B91">
        <w:t>jewelry</w:t>
      </w:r>
      <w:r w:rsidR="00B13DFC" w:rsidRPr="00592B91">
        <w:t xml:space="preserve"> intended primarily for use by children 12 years of age or younger, and would not include toys, accessories, apparel, footwear, or any other product whose purpose is primarily functional and not ornamental.  The bill would take effect 180 days after enactment.  ASTM F2923-14 includes specifications for antimony, arsenic, barium, </w:t>
      </w:r>
      <w:r w:rsidR="00B13DFC" w:rsidRPr="00592B91">
        <w:rPr>
          <w:b/>
        </w:rPr>
        <w:t>cadmium</w:t>
      </w:r>
      <w:r w:rsidR="00B13DFC" w:rsidRPr="00592B91">
        <w:t xml:space="preserve">, chromium, mercury, and selenium in paint and surface coatings of children’s jewelry, as well as specifications for </w:t>
      </w:r>
      <w:r w:rsidR="00B13DFC" w:rsidRPr="00592B91">
        <w:rPr>
          <w:b/>
        </w:rPr>
        <w:t>cadmium</w:t>
      </w:r>
      <w:r w:rsidR="00B13DFC" w:rsidRPr="00592B91">
        <w:t xml:space="preserve"> in substrate materials of children’s jewelry.</w:t>
      </w:r>
    </w:p>
    <w:p w:rsidR="009469B9" w:rsidRPr="00592B91" w:rsidRDefault="009469B9" w:rsidP="009408F2"/>
    <w:p w:rsidR="00B20323" w:rsidRPr="00592B91" w:rsidRDefault="00B20323" w:rsidP="009408F2">
      <w:pPr>
        <w:jc w:val="center"/>
        <w:rPr>
          <w:b/>
          <w:i/>
        </w:rPr>
      </w:pPr>
      <w:r w:rsidRPr="00592B91">
        <w:rPr>
          <w:b/>
          <w:i/>
        </w:rPr>
        <w:t>Minnesota</w:t>
      </w:r>
    </w:p>
    <w:p w:rsidR="00B20323" w:rsidRPr="00592B91" w:rsidRDefault="00B20323" w:rsidP="009408F2"/>
    <w:p w:rsidR="00B20323" w:rsidRPr="00592B91" w:rsidRDefault="00B20323" w:rsidP="009408F2">
      <w:r w:rsidRPr="005427BD">
        <w:rPr>
          <w:b/>
          <w:highlight w:val="yellow"/>
        </w:rPr>
        <w:t xml:space="preserve">MDH Adds Several Cadmium Compounds To List </w:t>
      </w:r>
      <w:proofErr w:type="gramStart"/>
      <w:r w:rsidRPr="005427BD">
        <w:rPr>
          <w:b/>
          <w:highlight w:val="yellow"/>
        </w:rPr>
        <w:t>Of</w:t>
      </w:r>
      <w:proofErr w:type="gramEnd"/>
      <w:r w:rsidRPr="005427BD">
        <w:rPr>
          <w:b/>
          <w:highlight w:val="yellow"/>
        </w:rPr>
        <w:t xml:space="preserve"> Chemicals Of High Concern</w:t>
      </w:r>
    </w:p>
    <w:p w:rsidR="00B20323" w:rsidRPr="00592B91" w:rsidRDefault="00B20323" w:rsidP="009408F2"/>
    <w:p w:rsidR="00F74FF6" w:rsidRPr="00592B91" w:rsidRDefault="00B20323" w:rsidP="009408F2">
      <w:r w:rsidRPr="00592B91">
        <w:t xml:space="preserve">On September 13, 2016, MDH announced the availability of an updated </w:t>
      </w:r>
      <w:hyperlink r:id="rId22" w:anchor="list" w:history="1">
        <w:r w:rsidRPr="00592B91">
          <w:rPr>
            <w:rStyle w:val="Hyperlink"/>
          </w:rPr>
          <w:t>list of chemicals of high concern</w:t>
        </w:r>
      </w:hyperlink>
      <w:r w:rsidRPr="00592B91">
        <w:t xml:space="preserve">.  Chemicals </w:t>
      </w:r>
      <w:hyperlink r:id="rId23" w:history="1">
        <w:r w:rsidRPr="00592B91">
          <w:rPr>
            <w:rStyle w:val="Hyperlink"/>
          </w:rPr>
          <w:t>added</w:t>
        </w:r>
      </w:hyperlink>
      <w:r w:rsidRPr="00592B91">
        <w:t xml:space="preserve"> to the list of chemicals of high concern include </w:t>
      </w:r>
      <w:r w:rsidRPr="00592B91">
        <w:rPr>
          <w:b/>
        </w:rPr>
        <w:t>cadmium oxide</w:t>
      </w:r>
      <w:r w:rsidRPr="00592B91">
        <w:t xml:space="preserve">, </w:t>
      </w:r>
      <w:r w:rsidRPr="00592B91">
        <w:rPr>
          <w:b/>
        </w:rPr>
        <w:t xml:space="preserve">cadmium </w:t>
      </w:r>
      <w:proofErr w:type="spellStart"/>
      <w:r w:rsidRPr="00592B91">
        <w:rPr>
          <w:b/>
        </w:rPr>
        <w:t>sulphide</w:t>
      </w:r>
      <w:proofErr w:type="spellEnd"/>
      <w:r w:rsidRPr="00592B91">
        <w:t xml:space="preserve">, and </w:t>
      </w:r>
      <w:r w:rsidRPr="00592B91">
        <w:rPr>
          <w:b/>
        </w:rPr>
        <w:t xml:space="preserve">cadmium </w:t>
      </w:r>
      <w:proofErr w:type="spellStart"/>
      <w:r w:rsidRPr="00592B91">
        <w:rPr>
          <w:b/>
        </w:rPr>
        <w:t>sulphate</w:t>
      </w:r>
      <w:proofErr w:type="spellEnd"/>
      <w:r w:rsidRPr="00592B91">
        <w:t>.  MDH added these chemicals based on their designation as SVHCs under REACH.</w:t>
      </w:r>
      <w:r w:rsidR="00F74FF6" w:rsidRPr="00592B91">
        <w:t xml:space="preserve">  Under the Toxic Free Kids Act, a chemical of high concern is a chemical identified on the basis of credible scientific evidence by a state, federal, or international agency as being known or suspected with a high degree of probability to: </w:t>
      </w:r>
    </w:p>
    <w:p w:rsidR="00F74FF6" w:rsidRPr="00592B91" w:rsidRDefault="00F74FF6" w:rsidP="009408F2"/>
    <w:p w:rsidR="00F74FF6" w:rsidRPr="00592B91" w:rsidRDefault="00F74FF6" w:rsidP="009408F2">
      <w:pPr>
        <w:ind w:left="1440" w:right="720" w:hanging="720"/>
      </w:pPr>
      <w:r w:rsidRPr="00592B91">
        <w:t>(1)</w:t>
      </w:r>
      <w:r w:rsidRPr="00592B91">
        <w:tab/>
        <w:t>Harm the normal development of a fetus or child or cause other developmental toxicity;</w:t>
      </w:r>
    </w:p>
    <w:p w:rsidR="00F74FF6" w:rsidRPr="00592B91" w:rsidRDefault="00F74FF6" w:rsidP="009408F2">
      <w:pPr>
        <w:ind w:left="1440" w:right="720" w:hanging="720"/>
      </w:pPr>
    </w:p>
    <w:p w:rsidR="00F74FF6" w:rsidRPr="00592B91" w:rsidRDefault="00F74FF6" w:rsidP="009408F2">
      <w:pPr>
        <w:ind w:left="1440" w:right="720" w:hanging="720"/>
      </w:pPr>
      <w:r w:rsidRPr="00592B91">
        <w:t>(2)</w:t>
      </w:r>
      <w:r w:rsidRPr="00592B91">
        <w:tab/>
        <w:t>Cause cancer, genetic damage, or reproductive harm;</w:t>
      </w:r>
    </w:p>
    <w:p w:rsidR="00F74FF6" w:rsidRPr="00592B91" w:rsidRDefault="00F74FF6" w:rsidP="009408F2">
      <w:pPr>
        <w:ind w:left="1440" w:right="720" w:hanging="720"/>
      </w:pPr>
    </w:p>
    <w:p w:rsidR="00F74FF6" w:rsidRPr="00592B91" w:rsidRDefault="00F74FF6" w:rsidP="009408F2">
      <w:pPr>
        <w:ind w:left="1440" w:right="720" w:hanging="720"/>
      </w:pPr>
      <w:r w:rsidRPr="00592B91">
        <w:t xml:space="preserve">(3) </w:t>
      </w:r>
      <w:r w:rsidRPr="00592B91">
        <w:tab/>
      </w:r>
      <w:proofErr w:type="gramStart"/>
      <w:r w:rsidRPr="00592B91">
        <w:t>Disrupt</w:t>
      </w:r>
      <w:proofErr w:type="gramEnd"/>
      <w:r w:rsidRPr="00592B91">
        <w:t xml:space="preserve"> the endocrine or hormone system;</w:t>
      </w:r>
    </w:p>
    <w:p w:rsidR="00F74FF6" w:rsidRPr="00592B91" w:rsidRDefault="00F74FF6" w:rsidP="009408F2">
      <w:pPr>
        <w:ind w:left="1440" w:right="720" w:hanging="720"/>
      </w:pPr>
    </w:p>
    <w:p w:rsidR="00F74FF6" w:rsidRPr="00592B91" w:rsidRDefault="00F74FF6" w:rsidP="009408F2">
      <w:pPr>
        <w:ind w:left="1440" w:right="720" w:hanging="720"/>
      </w:pPr>
      <w:r w:rsidRPr="00592B91">
        <w:t xml:space="preserve">(4) </w:t>
      </w:r>
      <w:r w:rsidRPr="00592B91">
        <w:tab/>
        <w:t xml:space="preserve">Damage the nervous system, immune system, or organs, or cause other systemic toxicity; </w:t>
      </w:r>
    </w:p>
    <w:p w:rsidR="00F74FF6" w:rsidRPr="00592B91" w:rsidRDefault="00F74FF6" w:rsidP="009408F2">
      <w:pPr>
        <w:ind w:left="1440" w:right="720" w:hanging="720"/>
      </w:pPr>
    </w:p>
    <w:p w:rsidR="00F74FF6" w:rsidRPr="00592B91" w:rsidRDefault="00F74FF6" w:rsidP="009408F2">
      <w:pPr>
        <w:ind w:left="1440" w:right="720" w:hanging="720"/>
      </w:pPr>
      <w:r w:rsidRPr="00592B91">
        <w:t xml:space="preserve">(5) </w:t>
      </w:r>
      <w:r w:rsidRPr="00592B91">
        <w:tab/>
        <w:t>Be PBT; or</w:t>
      </w:r>
    </w:p>
    <w:p w:rsidR="00F74FF6" w:rsidRPr="00592B91" w:rsidRDefault="00F74FF6" w:rsidP="009408F2">
      <w:pPr>
        <w:ind w:left="1440" w:right="720" w:hanging="720"/>
      </w:pPr>
    </w:p>
    <w:p w:rsidR="00B20323" w:rsidRPr="00592B91" w:rsidRDefault="00F74FF6" w:rsidP="009408F2">
      <w:pPr>
        <w:ind w:left="1440" w:right="720" w:hanging="720"/>
      </w:pPr>
      <w:r w:rsidRPr="00592B91">
        <w:t xml:space="preserve">(6) </w:t>
      </w:r>
      <w:r w:rsidRPr="00592B91">
        <w:tab/>
        <w:t xml:space="preserve">Be </w:t>
      </w:r>
      <w:proofErr w:type="spellStart"/>
      <w:r w:rsidRPr="00592B91">
        <w:t>vPvB</w:t>
      </w:r>
      <w:proofErr w:type="spellEnd"/>
      <w:r w:rsidRPr="00592B91">
        <w:t>.</w:t>
      </w:r>
    </w:p>
    <w:p w:rsidR="00B20323" w:rsidRPr="00592B91" w:rsidRDefault="00B20323" w:rsidP="009408F2"/>
    <w:p w:rsidR="00F74FF6" w:rsidRPr="00592B91" w:rsidRDefault="00F74FF6" w:rsidP="009408F2">
      <w:r w:rsidRPr="00592B91">
        <w:t xml:space="preserve">MDH will also “consider chemicals listed as a suspected carcinogen, reproductive or developmental toxicant, or as being persistent, </w:t>
      </w:r>
      <w:proofErr w:type="spellStart"/>
      <w:r w:rsidRPr="00592B91">
        <w:t>bioaccumulative</w:t>
      </w:r>
      <w:proofErr w:type="spellEnd"/>
      <w:r w:rsidRPr="00592B91">
        <w:t xml:space="preserve">, and toxic, or very persistent and very </w:t>
      </w:r>
      <w:proofErr w:type="spellStart"/>
      <w:r w:rsidRPr="00592B91">
        <w:t>bioaccumulative</w:t>
      </w:r>
      <w:proofErr w:type="spellEnd"/>
      <w:r w:rsidRPr="00592B91">
        <w:t xml:space="preserve"> by a state, federal, or international agency</w:t>
      </w:r>
      <w:r w:rsidR="00493C0A" w:rsidRPr="00592B91">
        <w:t>.</w:t>
      </w:r>
      <w:r w:rsidRPr="00592B91">
        <w:t xml:space="preserve">” </w:t>
      </w:r>
      <w:r w:rsidR="00493C0A" w:rsidRPr="00592B91">
        <w:t xml:space="preserve"> MDH designated </w:t>
      </w:r>
      <w:r w:rsidR="00493C0A" w:rsidRPr="00592B91">
        <w:rPr>
          <w:b/>
        </w:rPr>
        <w:t>cadmium</w:t>
      </w:r>
      <w:r w:rsidR="00493C0A" w:rsidRPr="00592B91">
        <w:t xml:space="preserve"> as a priority chemical as of January 31, 2011.</w:t>
      </w:r>
    </w:p>
    <w:p w:rsidR="00C86C76" w:rsidRPr="00592B91" w:rsidRDefault="005B6704" w:rsidP="002A052A">
      <w:pPr>
        <w:keepNext/>
        <w:keepLines/>
        <w:widowControl/>
        <w:tabs>
          <w:tab w:val="left" w:pos="4080"/>
        </w:tabs>
        <w:jc w:val="center"/>
        <w:rPr>
          <w:b/>
          <w:i/>
        </w:rPr>
      </w:pPr>
      <w:r w:rsidRPr="00592B91">
        <w:rPr>
          <w:b/>
          <w:i/>
        </w:rPr>
        <w:lastRenderedPageBreak/>
        <w:t>Oregon</w:t>
      </w:r>
    </w:p>
    <w:p w:rsidR="00C86C76" w:rsidRPr="00592B91" w:rsidRDefault="00C86C76" w:rsidP="002A052A">
      <w:pPr>
        <w:keepNext/>
        <w:keepLines/>
        <w:widowControl/>
      </w:pPr>
    </w:p>
    <w:p w:rsidR="005D70A3" w:rsidRPr="00592B91" w:rsidRDefault="005D70A3" w:rsidP="002A052A">
      <w:pPr>
        <w:keepNext/>
        <w:keepLines/>
        <w:widowControl/>
        <w:rPr>
          <w:b/>
        </w:rPr>
      </w:pPr>
      <w:r w:rsidRPr="005427BD">
        <w:rPr>
          <w:b/>
          <w:highlight w:val="yellow"/>
        </w:rPr>
        <w:t xml:space="preserve">ODEQ Proposes That OEQC Approve Proposed Permanent Rules </w:t>
      </w:r>
      <w:proofErr w:type="gramStart"/>
      <w:r w:rsidRPr="005427BD">
        <w:rPr>
          <w:b/>
          <w:highlight w:val="yellow"/>
        </w:rPr>
        <w:t>For</w:t>
      </w:r>
      <w:proofErr w:type="gramEnd"/>
      <w:r w:rsidRPr="005427BD">
        <w:rPr>
          <w:b/>
          <w:highlight w:val="yellow"/>
        </w:rPr>
        <w:t xml:space="preserve"> Colored Art Glass Manufacturers</w:t>
      </w:r>
    </w:p>
    <w:p w:rsidR="005D70A3" w:rsidRPr="00592B91" w:rsidRDefault="005D70A3" w:rsidP="002A052A">
      <w:pPr>
        <w:keepNext/>
        <w:keepLines/>
        <w:widowControl/>
      </w:pPr>
    </w:p>
    <w:p w:rsidR="008D0A2A" w:rsidRPr="00592B91" w:rsidRDefault="005D70A3" w:rsidP="009408F2">
      <w:pPr>
        <w:widowControl/>
      </w:pPr>
      <w:r w:rsidRPr="00592B91">
        <w:t xml:space="preserve">ODEQ </w:t>
      </w:r>
      <w:r w:rsidR="000C60FB" w:rsidRPr="00592B91">
        <w:t>announced</w:t>
      </w:r>
      <w:r w:rsidRPr="00592B91">
        <w:t xml:space="preserve"> on September 23, 2016, that it proposes that the OEQC approve proposed permanent rules for colored art glass manufacturers.  ODEQ states that this proposal is based on the temporary rules adopted by OEQC in April 2016, with modifications based on new information and public comment.  The permanent rules are intended to ensure that air emissions from colored art glass manufacturers do not cause unsafe levels of glassmaking hazardous air pollutants (arsenic, </w:t>
      </w:r>
      <w:r w:rsidRPr="00592B91">
        <w:rPr>
          <w:b/>
        </w:rPr>
        <w:t>cadmium</w:t>
      </w:r>
      <w:r w:rsidRPr="00592B91">
        <w:t>, chromium, lead, manganese, nickel</w:t>
      </w:r>
      <w:r w:rsidR="008E6A5F" w:rsidRPr="00592B91">
        <w:t>,</w:t>
      </w:r>
      <w:r w:rsidRPr="00592B91">
        <w:t xml:space="preserve"> and selenium) in the air nearby. </w:t>
      </w:r>
      <w:r w:rsidR="008E6A5F" w:rsidRPr="00592B91">
        <w:t xml:space="preserve"> </w:t>
      </w:r>
      <w:r w:rsidRPr="00592B91">
        <w:t xml:space="preserve">ODEQ posted the </w:t>
      </w:r>
      <w:hyperlink r:id="rId24" w:history="1">
        <w:r w:rsidRPr="00592B91">
          <w:rPr>
            <w:rStyle w:val="Hyperlink"/>
          </w:rPr>
          <w:t>staff report</w:t>
        </w:r>
      </w:hyperlink>
      <w:r w:rsidRPr="00592B91">
        <w:t xml:space="preserve"> for the </w:t>
      </w:r>
      <w:r w:rsidR="008E6A5F" w:rsidRPr="00592B91">
        <w:t>proposed art glass permanent rules</w:t>
      </w:r>
      <w:r w:rsidRPr="00592B91">
        <w:t xml:space="preserve">.  The staff report contains the proposed rules, summary of comments received, ODEQ’s response to comments, and the estimated fiscal impact of the proposed rules.  A copy of the staff report can be found on the </w:t>
      </w:r>
      <w:r w:rsidR="008E6A5F" w:rsidRPr="00592B91">
        <w:t>O</w:t>
      </w:r>
      <w:r w:rsidRPr="00592B91">
        <w:t>EQC meetings page. O</w:t>
      </w:r>
      <w:r w:rsidR="008E6A5F" w:rsidRPr="00592B91">
        <w:t xml:space="preserve">EQC will </w:t>
      </w:r>
      <w:r w:rsidRPr="00592B91">
        <w:t>tak</w:t>
      </w:r>
      <w:r w:rsidR="008E6A5F" w:rsidRPr="00592B91">
        <w:t>e</w:t>
      </w:r>
      <w:r w:rsidRPr="00592B91">
        <w:t xml:space="preserve"> action on the proposed rules at their </w:t>
      </w:r>
      <w:r w:rsidRPr="00592B91">
        <w:rPr>
          <w:b/>
        </w:rPr>
        <w:t>September 29, 2016</w:t>
      </w:r>
      <w:r w:rsidRPr="00592B91">
        <w:t>, meeting.</w:t>
      </w:r>
    </w:p>
    <w:p w:rsidR="008D0A2A" w:rsidRPr="00592B91" w:rsidRDefault="008D0A2A" w:rsidP="009408F2">
      <w:pPr>
        <w:widowControl/>
      </w:pPr>
    </w:p>
    <w:p w:rsidR="00C86C76" w:rsidRPr="00592B91" w:rsidRDefault="00AF37AF" w:rsidP="009408F2">
      <w:pPr>
        <w:widowControl/>
        <w:jc w:val="center"/>
        <w:rPr>
          <w:b/>
          <w:i/>
        </w:rPr>
      </w:pPr>
      <w:r w:rsidRPr="00592B91">
        <w:rPr>
          <w:b/>
          <w:i/>
        </w:rPr>
        <w:t>Texas</w:t>
      </w:r>
    </w:p>
    <w:p w:rsidR="00AF37AF" w:rsidRPr="00592B91" w:rsidRDefault="00AF37AF" w:rsidP="009408F2">
      <w:pPr>
        <w:widowControl/>
      </w:pPr>
    </w:p>
    <w:p w:rsidR="00AF37AF" w:rsidRPr="00592B91" w:rsidRDefault="00AF37AF" w:rsidP="009408F2">
      <w:pPr>
        <w:widowControl/>
        <w:rPr>
          <w:b/>
        </w:rPr>
      </w:pPr>
      <w:r w:rsidRPr="00FF29FC">
        <w:rPr>
          <w:b/>
          <w:highlight w:val="yellow"/>
        </w:rPr>
        <w:t xml:space="preserve">Final DSD Available For Cadmium </w:t>
      </w:r>
      <w:proofErr w:type="gramStart"/>
      <w:r w:rsidRPr="00FF29FC">
        <w:rPr>
          <w:b/>
          <w:highlight w:val="yellow"/>
        </w:rPr>
        <w:t>And</w:t>
      </w:r>
      <w:proofErr w:type="gramEnd"/>
      <w:r w:rsidRPr="00FF29FC">
        <w:rPr>
          <w:b/>
          <w:highlight w:val="yellow"/>
        </w:rPr>
        <w:t xml:space="preserve"> Cadmium Compounds</w:t>
      </w:r>
    </w:p>
    <w:p w:rsidR="00AF37AF" w:rsidRPr="00592B91" w:rsidRDefault="00AF37AF" w:rsidP="009408F2">
      <w:pPr>
        <w:widowControl/>
      </w:pPr>
    </w:p>
    <w:p w:rsidR="00AF37AF" w:rsidRPr="00592B91" w:rsidRDefault="00AF37AF" w:rsidP="009408F2">
      <w:pPr>
        <w:widowControl/>
        <w:rPr>
          <w:color w:val="000000"/>
        </w:rPr>
      </w:pPr>
      <w:r w:rsidRPr="00592B91">
        <w:t>As reported in our September 2, 2016, e-mail, TCEQ announced</w:t>
      </w:r>
      <w:r w:rsidR="006F2588" w:rsidRPr="00592B91">
        <w:t xml:space="preserve"> on September 2, 2016,</w:t>
      </w:r>
      <w:r w:rsidRPr="00592B91">
        <w:t xml:space="preserve"> that the </w:t>
      </w:r>
      <w:r w:rsidRPr="00592B91">
        <w:rPr>
          <w:color w:val="000000"/>
        </w:rPr>
        <w:t xml:space="preserve">DSD for </w:t>
      </w:r>
      <w:r w:rsidRPr="00592B91">
        <w:rPr>
          <w:b/>
          <w:color w:val="000000"/>
        </w:rPr>
        <w:t>cadmium</w:t>
      </w:r>
      <w:r w:rsidRPr="00592B91">
        <w:rPr>
          <w:color w:val="000000"/>
        </w:rPr>
        <w:t xml:space="preserve"> and </w:t>
      </w:r>
      <w:r w:rsidRPr="00592B91">
        <w:rPr>
          <w:b/>
          <w:color w:val="000000"/>
        </w:rPr>
        <w:t>cadmium compounds</w:t>
      </w:r>
      <w:r w:rsidRPr="00592B91">
        <w:rPr>
          <w:color w:val="000000"/>
        </w:rPr>
        <w:t xml:space="preserve"> is now final.</w:t>
      </w:r>
      <w:r w:rsidR="005723CC" w:rsidRPr="00592B91">
        <w:rPr>
          <w:color w:val="000000"/>
        </w:rPr>
        <w:t xml:space="preserve"> </w:t>
      </w:r>
      <w:r w:rsidRPr="00592B91">
        <w:rPr>
          <w:color w:val="000000"/>
        </w:rPr>
        <w:t xml:space="preserve"> The DSD, which details how effects screening levels, inhalation reference values, and </w:t>
      </w:r>
      <w:r w:rsidR="005723CC" w:rsidRPr="00592B91">
        <w:rPr>
          <w:color w:val="000000"/>
        </w:rPr>
        <w:t xml:space="preserve">inhalation unit risk factors </w:t>
      </w:r>
      <w:r w:rsidRPr="00592B91">
        <w:rPr>
          <w:color w:val="000000"/>
        </w:rPr>
        <w:t xml:space="preserve">were derived, is available at </w:t>
      </w:r>
      <w:hyperlink r:id="rId25" w:anchor="cd" w:history="1">
        <w:r w:rsidRPr="00592B91">
          <w:rPr>
            <w:rStyle w:val="Hyperlink"/>
          </w:rPr>
          <w:t>https://www.tceq.texas.g</w:t>
        </w:r>
        <w:r w:rsidRPr="00592B91">
          <w:rPr>
            <w:rStyle w:val="Hyperlink"/>
          </w:rPr>
          <w:t>o</w:t>
        </w:r>
        <w:r w:rsidRPr="00592B91">
          <w:rPr>
            <w:rStyle w:val="Hyperlink"/>
          </w:rPr>
          <w:t>v/toxicology/dsd/final.html/#cd</w:t>
        </w:r>
      </w:hyperlink>
      <w:r w:rsidRPr="00592B91">
        <w:rPr>
          <w:color w:val="000000"/>
        </w:rPr>
        <w:t>.</w:t>
      </w:r>
      <w:r w:rsidR="005723CC" w:rsidRPr="00592B91">
        <w:rPr>
          <w:color w:val="000000"/>
        </w:rPr>
        <w:t xml:space="preserve"> </w:t>
      </w:r>
      <w:r w:rsidRPr="00592B91">
        <w:rPr>
          <w:color w:val="000000"/>
        </w:rPr>
        <w:t xml:space="preserve"> </w:t>
      </w:r>
      <w:r w:rsidR="005723CC" w:rsidRPr="00592B91">
        <w:rPr>
          <w:color w:val="000000"/>
        </w:rPr>
        <w:t>A</w:t>
      </w:r>
      <w:r w:rsidRPr="00592B91">
        <w:rPr>
          <w:color w:val="000000"/>
        </w:rPr>
        <w:t xml:space="preserve"> </w:t>
      </w:r>
      <w:hyperlink r:id="rId26" w:history="1">
        <w:r w:rsidRPr="00592B91">
          <w:rPr>
            <w:rStyle w:val="Hyperlink"/>
          </w:rPr>
          <w:t>fac</w:t>
        </w:r>
        <w:r w:rsidRPr="00592B91">
          <w:rPr>
            <w:rStyle w:val="Hyperlink"/>
          </w:rPr>
          <w:t>t</w:t>
        </w:r>
        <w:r w:rsidRPr="00592B91">
          <w:rPr>
            <w:rStyle w:val="Hyperlink"/>
          </w:rPr>
          <w:t xml:space="preserve"> sheet</w:t>
        </w:r>
      </w:hyperlink>
      <w:r w:rsidRPr="00592B91">
        <w:rPr>
          <w:color w:val="000000"/>
        </w:rPr>
        <w:t xml:space="preserve"> </w:t>
      </w:r>
      <w:r w:rsidR="005723CC" w:rsidRPr="00592B91">
        <w:rPr>
          <w:color w:val="000000"/>
        </w:rPr>
        <w:t>provides a summary of the DSD for the development of the regulatory guidelines for ambient exposure to cadmium and cadmium compounds.  The fact sheet provi</w:t>
      </w:r>
      <w:r w:rsidR="000C0E2E" w:rsidRPr="00592B91">
        <w:rPr>
          <w:color w:val="000000"/>
        </w:rPr>
        <w:t>des the following information for how cadmium is released into ambient air:</w:t>
      </w:r>
    </w:p>
    <w:p w:rsidR="000C0E2E" w:rsidRPr="00592B91" w:rsidRDefault="000C0E2E" w:rsidP="009408F2">
      <w:pPr>
        <w:widowControl/>
        <w:rPr>
          <w:color w:val="000000"/>
        </w:rPr>
      </w:pPr>
    </w:p>
    <w:p w:rsidR="000C0E2E" w:rsidRPr="00592B91" w:rsidRDefault="000C0E2E" w:rsidP="009408F2">
      <w:pPr>
        <w:widowControl/>
        <w:ind w:left="1440" w:right="1440"/>
      </w:pPr>
      <w:r w:rsidRPr="00592B91">
        <w:t xml:space="preserve">Particulate </w:t>
      </w:r>
      <w:r w:rsidRPr="00592B91">
        <w:rPr>
          <w:b/>
        </w:rPr>
        <w:t>cadmium</w:t>
      </w:r>
      <w:r w:rsidRPr="00592B91">
        <w:t xml:space="preserve"> (as </w:t>
      </w:r>
      <w:r w:rsidRPr="00592B91">
        <w:rPr>
          <w:b/>
        </w:rPr>
        <w:t>elemental cadmium</w:t>
      </w:r>
      <w:r w:rsidRPr="00592B91">
        <w:t xml:space="preserve"> and </w:t>
      </w:r>
      <w:r w:rsidRPr="00592B91">
        <w:rPr>
          <w:b/>
        </w:rPr>
        <w:t>cadmium oxide</w:t>
      </w:r>
      <w:r w:rsidRPr="00592B91">
        <w:t xml:space="preserve">, </w:t>
      </w:r>
      <w:r w:rsidRPr="00592B91">
        <w:rPr>
          <w:b/>
        </w:rPr>
        <w:t>sulfide</w:t>
      </w:r>
      <w:r w:rsidRPr="00592B91">
        <w:t xml:space="preserve">, or </w:t>
      </w:r>
      <w:r w:rsidRPr="00592B91">
        <w:rPr>
          <w:b/>
        </w:rPr>
        <w:t>chloride</w:t>
      </w:r>
      <w:r w:rsidRPr="00592B91">
        <w:t xml:space="preserve">) is emitted to the atmosphere from both natural and anthropogenic sources.  Weathering and erosion of </w:t>
      </w:r>
      <w:r w:rsidRPr="00592B91">
        <w:rPr>
          <w:b/>
        </w:rPr>
        <w:t>cadmium</w:t>
      </w:r>
      <w:r w:rsidRPr="00592B91">
        <w:t xml:space="preserve">-bearing rocks is the most important natural source of </w:t>
      </w:r>
      <w:r w:rsidRPr="00592B91">
        <w:rPr>
          <w:b/>
        </w:rPr>
        <w:t>cadmium</w:t>
      </w:r>
      <w:r w:rsidRPr="00592B91">
        <w:t xml:space="preserve">.  Other natural sources include volcanoes, sea spray, and forest fires.  However, the majority (85-90%) of airborne </w:t>
      </w:r>
      <w:r w:rsidRPr="00592B91">
        <w:rPr>
          <w:b/>
        </w:rPr>
        <w:t>cadmium</w:t>
      </w:r>
      <w:r w:rsidRPr="00592B91">
        <w:t xml:space="preserve"> emissions worldwide are from anthropogenic sources.  The principal anthropogenic sources are non-ferrous metal production and fossil fuel combustion, followed by ferrous metal production, waste incineration, and cement production.</w:t>
      </w:r>
    </w:p>
    <w:p w:rsidR="00AF37AF" w:rsidRPr="00592B91" w:rsidRDefault="00AF37AF" w:rsidP="009408F2">
      <w:pPr>
        <w:widowControl/>
      </w:pPr>
    </w:p>
    <w:p w:rsidR="00C86C76" w:rsidRPr="00592B91" w:rsidRDefault="005B6704" w:rsidP="002A052A">
      <w:pPr>
        <w:keepNext/>
        <w:keepLines/>
        <w:widowControl/>
        <w:jc w:val="center"/>
      </w:pPr>
      <w:bookmarkStart w:id="41" w:name="_OSHA_Extends_Comment"/>
      <w:bookmarkEnd w:id="41"/>
      <w:r w:rsidRPr="00592B91">
        <w:rPr>
          <w:b/>
        </w:rPr>
        <w:lastRenderedPageBreak/>
        <w:t>INTERNATIONAL ISSUES</w:t>
      </w:r>
    </w:p>
    <w:p w:rsidR="00C86C76" w:rsidRPr="00592B91" w:rsidRDefault="00C86C76" w:rsidP="002A052A">
      <w:pPr>
        <w:keepNext/>
        <w:keepLines/>
      </w:pPr>
    </w:p>
    <w:p w:rsidR="00447E33" w:rsidRPr="00592B91" w:rsidRDefault="00447E33" w:rsidP="002A052A">
      <w:pPr>
        <w:keepNext/>
        <w:keepLines/>
        <w:jc w:val="center"/>
        <w:rPr>
          <w:b/>
        </w:rPr>
      </w:pPr>
      <w:r w:rsidRPr="00592B91">
        <w:rPr>
          <w:b/>
        </w:rPr>
        <w:t>BANGLADESH</w:t>
      </w:r>
    </w:p>
    <w:p w:rsidR="00447E33" w:rsidRPr="00592B91" w:rsidRDefault="00447E33" w:rsidP="009408F2"/>
    <w:p w:rsidR="00447E33" w:rsidRPr="00592B91" w:rsidRDefault="00447E33" w:rsidP="009408F2">
      <w:pPr>
        <w:rPr>
          <w:b/>
        </w:rPr>
      </w:pPr>
      <w:r w:rsidRPr="00FF29FC">
        <w:rPr>
          <w:b/>
          <w:highlight w:val="yellow"/>
        </w:rPr>
        <w:t xml:space="preserve">NGO Finds High Levels </w:t>
      </w:r>
      <w:proofErr w:type="gramStart"/>
      <w:r w:rsidRPr="00FF29FC">
        <w:rPr>
          <w:b/>
          <w:highlight w:val="yellow"/>
        </w:rPr>
        <w:t>Of Cadmium In</w:t>
      </w:r>
      <w:proofErr w:type="gramEnd"/>
      <w:r w:rsidRPr="00FF29FC">
        <w:rPr>
          <w:b/>
          <w:highlight w:val="yellow"/>
        </w:rPr>
        <w:t xml:space="preserve"> </w:t>
      </w:r>
      <w:r w:rsidR="008176A3" w:rsidRPr="00FF29FC">
        <w:rPr>
          <w:b/>
          <w:highlight w:val="yellow"/>
        </w:rPr>
        <w:t xml:space="preserve">Children’s </w:t>
      </w:r>
      <w:r w:rsidRPr="00FF29FC">
        <w:rPr>
          <w:b/>
          <w:highlight w:val="yellow"/>
        </w:rPr>
        <w:t>Jewelry</w:t>
      </w:r>
    </w:p>
    <w:p w:rsidR="00447E33" w:rsidRPr="00592B91" w:rsidRDefault="00447E33" w:rsidP="009408F2"/>
    <w:p w:rsidR="00447E33" w:rsidRPr="00592B91" w:rsidRDefault="00447E33" w:rsidP="009408F2">
      <w:r w:rsidRPr="00592B91">
        <w:t xml:space="preserve">ESDO, a Bangladesh NGO, </w:t>
      </w:r>
      <w:hyperlink r:id="rId27" w:history="1">
        <w:r w:rsidRPr="00592B91">
          <w:rPr>
            <w:rStyle w:val="Hyperlink"/>
          </w:rPr>
          <w:t>issued</w:t>
        </w:r>
      </w:hyperlink>
      <w:r w:rsidRPr="00592B91">
        <w:t xml:space="preserve"> a report on August 13, 2016, entitled </w:t>
      </w:r>
      <w:r w:rsidRPr="00592B91">
        <w:rPr>
          <w:i/>
        </w:rPr>
        <w:t xml:space="preserve">Toxic </w:t>
      </w:r>
      <w:proofErr w:type="spellStart"/>
      <w:r w:rsidRPr="00592B91">
        <w:rPr>
          <w:i/>
        </w:rPr>
        <w:t>Jewellery</w:t>
      </w:r>
      <w:proofErr w:type="spellEnd"/>
      <w:r w:rsidRPr="00592B91">
        <w:rPr>
          <w:i/>
        </w:rPr>
        <w:t>:  High Risk to Health and Environment in Bangladesh</w:t>
      </w:r>
      <w:r w:rsidRPr="00592B91">
        <w:t xml:space="preserve">.  According to ESDO, </w:t>
      </w:r>
      <w:r w:rsidR="008176A3" w:rsidRPr="00592B91">
        <w:t xml:space="preserve">jewelry purchased in shopping malls and from retail shops contains high levels of arsenic, lead, titanium, </w:t>
      </w:r>
      <w:r w:rsidR="008176A3" w:rsidRPr="00592B91">
        <w:rPr>
          <w:b/>
        </w:rPr>
        <w:t>cadmium</w:t>
      </w:r>
      <w:r w:rsidR="008176A3" w:rsidRPr="00592B91">
        <w:t xml:space="preserve">, nickel, bromine, mercury, and zinc.  Children’s jewelry items were found to contain high levels of </w:t>
      </w:r>
      <w:r w:rsidR="008176A3" w:rsidRPr="00592B91">
        <w:rPr>
          <w:b/>
        </w:rPr>
        <w:t>cadmium</w:t>
      </w:r>
      <w:r w:rsidR="008176A3" w:rsidRPr="00592B91">
        <w:t xml:space="preserve">, bromine, lead, nickel, arsenic, and titanium.  </w:t>
      </w:r>
      <w:r w:rsidR="006902DC" w:rsidRPr="00592B91">
        <w:t xml:space="preserve">The NGO states that in </w:t>
      </w:r>
      <w:r w:rsidR="008176A3" w:rsidRPr="00592B91">
        <w:t xml:space="preserve">Bangladesh, no research has been </w:t>
      </w:r>
      <w:r w:rsidR="006902DC" w:rsidRPr="00592B91">
        <w:t>done to dat</w:t>
      </w:r>
      <w:r w:rsidR="008176A3" w:rsidRPr="00592B91">
        <w:t xml:space="preserve">e on jewelry and </w:t>
      </w:r>
      <w:r w:rsidR="006902DC" w:rsidRPr="00592B91">
        <w:t xml:space="preserve">the </w:t>
      </w:r>
      <w:r w:rsidR="008176A3" w:rsidRPr="00592B91">
        <w:t xml:space="preserve">harmful effect of heavy metals. </w:t>
      </w:r>
      <w:r w:rsidR="006902DC" w:rsidRPr="00592B91">
        <w:t xml:space="preserve"> The report includes the following recommendations:</w:t>
      </w:r>
    </w:p>
    <w:p w:rsidR="006902DC" w:rsidRPr="00592B91" w:rsidRDefault="006902DC" w:rsidP="009408F2"/>
    <w:p w:rsidR="006902DC" w:rsidRPr="00592B91" w:rsidRDefault="006902DC" w:rsidP="009408F2">
      <w:pPr>
        <w:pStyle w:val="ListParagraph"/>
        <w:numPr>
          <w:ilvl w:val="0"/>
          <w:numId w:val="21"/>
        </w:numPr>
        <w:spacing w:after="0" w:line="240" w:lineRule="auto"/>
        <w:ind w:left="1440" w:right="720" w:hanging="720"/>
        <w:jc w:val="both"/>
      </w:pPr>
      <w:r w:rsidRPr="00592B91">
        <w:t>Government should ban the import and manufacture of jewelry that contains toxic materials in excess of the tolerance limit;</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Concerned authorities should enlist the shops where jewelry containing toxic chemicals is found and should immediately take steps against it;</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Awareness should be raised among general consumers of toxic jewelry;</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 xml:space="preserve">Retailers, wholesalers, and importers should be aware and should not import </w:t>
      </w:r>
      <w:r w:rsidR="000C60FB" w:rsidRPr="00592B91">
        <w:t>jewelry</w:t>
      </w:r>
      <w:r w:rsidRPr="00592B91">
        <w:t xml:space="preserve"> containing heavy metals;</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Media, NGOs, and other organizations should promote awareness on the use of heavy metals in jewelry;</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Warning label should be put on packaging for such products;</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Eco-friendly alternative jewelry or non-toxic material in jewelry should be promoted;</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If SMEs need technical assistance to produce jewelry without toxic elements, authorities should provide it to them;</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More comprehensive study is needed;</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Establish and increase laboratory testing facilities in future; and</w:t>
      </w:r>
    </w:p>
    <w:p w:rsidR="006902DC" w:rsidRPr="00592B91" w:rsidRDefault="006902DC" w:rsidP="009408F2">
      <w:pPr>
        <w:ind w:left="1440" w:right="720" w:hanging="720"/>
      </w:pPr>
    </w:p>
    <w:p w:rsidR="006902DC" w:rsidRPr="00592B91" w:rsidRDefault="006902DC" w:rsidP="009408F2">
      <w:pPr>
        <w:pStyle w:val="ListParagraph"/>
        <w:numPr>
          <w:ilvl w:val="0"/>
          <w:numId w:val="21"/>
        </w:numPr>
        <w:spacing w:after="0" w:line="240" w:lineRule="auto"/>
        <w:ind w:left="1440" w:right="720" w:hanging="720"/>
        <w:jc w:val="both"/>
      </w:pPr>
      <w:r w:rsidRPr="00592B91">
        <w:t>Treat waste water containing heavy metals through using activated sludge.</w:t>
      </w:r>
    </w:p>
    <w:p w:rsidR="00C86C76" w:rsidRPr="00592B91" w:rsidRDefault="005B6704" w:rsidP="002A052A">
      <w:pPr>
        <w:keepNext/>
        <w:keepLines/>
        <w:widowControl/>
        <w:jc w:val="center"/>
        <w:rPr>
          <w:b/>
        </w:rPr>
      </w:pPr>
      <w:r w:rsidRPr="00592B91">
        <w:rPr>
          <w:b/>
        </w:rPr>
        <w:lastRenderedPageBreak/>
        <w:t>CANADA</w:t>
      </w:r>
    </w:p>
    <w:p w:rsidR="00C86C76" w:rsidRPr="00592B91" w:rsidRDefault="00C86C76" w:rsidP="002A052A">
      <w:pPr>
        <w:keepNext/>
        <w:keepLines/>
        <w:widowControl/>
      </w:pPr>
    </w:p>
    <w:p w:rsidR="00356844" w:rsidRPr="00592B91" w:rsidRDefault="00356844" w:rsidP="002A052A">
      <w:pPr>
        <w:keepNext/>
        <w:keepLines/>
        <w:rPr>
          <w:b/>
        </w:rPr>
      </w:pPr>
      <w:r w:rsidRPr="00FF29FC">
        <w:rPr>
          <w:b/>
          <w:highlight w:val="yellow"/>
        </w:rPr>
        <w:t xml:space="preserve">Canada Begins Consultation </w:t>
      </w:r>
      <w:proofErr w:type="gramStart"/>
      <w:r w:rsidRPr="00FF29FC">
        <w:rPr>
          <w:b/>
          <w:highlight w:val="yellow"/>
        </w:rPr>
        <w:t>On</w:t>
      </w:r>
      <w:proofErr w:type="gramEnd"/>
      <w:r w:rsidRPr="00FF29FC">
        <w:rPr>
          <w:b/>
          <w:highlight w:val="yellow"/>
        </w:rPr>
        <w:t xml:space="preserve"> Proposed Prioritization Approach For Nanoscale Forms Of DSL Substances</w:t>
      </w:r>
    </w:p>
    <w:p w:rsidR="00356844" w:rsidRPr="00592B91" w:rsidRDefault="00356844" w:rsidP="009408F2"/>
    <w:p w:rsidR="00ED5D2B" w:rsidRPr="00592B91" w:rsidRDefault="002A052A" w:rsidP="009408F2">
      <w:r>
        <w:t>O</w:t>
      </w:r>
      <w:r w:rsidR="00356844" w:rsidRPr="00592B91">
        <w:t xml:space="preserve">n July 27, 2016, ECCC and HC began a </w:t>
      </w:r>
      <w:hyperlink r:id="rId28" w:history="1">
        <w:r w:rsidR="00356844" w:rsidRPr="00592B91">
          <w:rPr>
            <w:rStyle w:val="Hyperlink"/>
          </w:rPr>
          <w:t>consultation</w:t>
        </w:r>
      </w:hyperlink>
      <w:r w:rsidR="00356844" w:rsidRPr="00592B91">
        <w:t xml:space="preserve"> on a proposed prioritization approach for nanoscale forms of substances on the DSL.  Canada will use the proposed approach to:  (1) establish a list of existing nanomaterials in Canada for prioritization; (2) identify how the information available will be used to inform prioritization of nanomaterials for risk assessment; and (3) outline the proposed outcomes of the prioritization process.  In 2015, Canada conducted a mandatory survey under CEPA Section 71.  The survey applied to persons who manufactured or imported any of </w:t>
      </w:r>
      <w:hyperlink r:id="rId29" w:anchor="s1" w:history="1">
        <w:r w:rsidR="00356844" w:rsidRPr="00592B91">
          <w:rPr>
            <w:rStyle w:val="Hyperlink"/>
          </w:rPr>
          <w:t>206 nanomaterials</w:t>
        </w:r>
      </w:hyperlink>
      <w:r w:rsidR="00ED5D2B" w:rsidRPr="00592B91">
        <w:t xml:space="preserve"> </w:t>
      </w:r>
      <w:r w:rsidR="00356844" w:rsidRPr="00592B91">
        <w:t>at a quantity greater than 100 kg during the 2014 calendar year</w:t>
      </w:r>
      <w:r w:rsidR="00ED5D2B" w:rsidRPr="00592B91">
        <w:t>, including:</w:t>
      </w:r>
    </w:p>
    <w:p w:rsidR="00ED5D2B" w:rsidRPr="00592B91" w:rsidRDefault="00ED5D2B" w:rsidP="009408F2"/>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15"/>
        <w:gridCol w:w="4623"/>
      </w:tblGrid>
      <w:tr w:rsidR="00ED5D2B" w:rsidRPr="00592B91" w:rsidTr="003C26EE">
        <w:trPr>
          <w:trHeight w:hRule="exact" w:val="310"/>
        </w:trPr>
        <w:tc>
          <w:tcPr>
            <w:tcW w:w="1615" w:type="dxa"/>
          </w:tcPr>
          <w:p w:rsidR="00ED5D2B" w:rsidRPr="00592B91" w:rsidRDefault="00ED5D2B" w:rsidP="009408F2">
            <w:pPr>
              <w:widowControl/>
              <w:ind w:right="-20"/>
              <w:jc w:val="center"/>
            </w:pPr>
            <w:r w:rsidRPr="00592B91">
              <w:rPr>
                <w:b/>
                <w:bCs/>
                <w:spacing w:val="1"/>
              </w:rPr>
              <w:t>CA</w:t>
            </w:r>
            <w:r w:rsidRPr="00592B91">
              <w:rPr>
                <w:b/>
                <w:bCs/>
              </w:rPr>
              <w:t>S</w:t>
            </w:r>
            <w:r w:rsidRPr="00592B91">
              <w:rPr>
                <w:b/>
                <w:bCs/>
                <w:spacing w:val="-1"/>
              </w:rPr>
              <w:t xml:space="preserve"> </w:t>
            </w:r>
            <w:r w:rsidR="003C26EE" w:rsidRPr="00592B91">
              <w:rPr>
                <w:b/>
                <w:bCs/>
                <w:spacing w:val="-2"/>
              </w:rPr>
              <w:t>Number</w:t>
            </w:r>
          </w:p>
        </w:tc>
        <w:tc>
          <w:tcPr>
            <w:tcW w:w="4623" w:type="dxa"/>
          </w:tcPr>
          <w:p w:rsidR="00ED5D2B" w:rsidRPr="00592B91" w:rsidRDefault="00ED5D2B" w:rsidP="009408F2">
            <w:pPr>
              <w:widowControl/>
              <w:ind w:left="102" w:right="-20"/>
              <w:jc w:val="left"/>
            </w:pPr>
            <w:r w:rsidRPr="00592B91">
              <w:rPr>
                <w:b/>
                <w:bCs/>
                <w:spacing w:val="-1"/>
              </w:rPr>
              <w:t>Sub</w:t>
            </w:r>
            <w:r w:rsidRPr="00592B91">
              <w:rPr>
                <w:b/>
                <w:bCs/>
                <w:spacing w:val="1"/>
              </w:rPr>
              <w:t>s</w:t>
            </w:r>
            <w:r w:rsidRPr="00592B91">
              <w:rPr>
                <w:b/>
                <w:bCs/>
              </w:rPr>
              <w:t>t</w:t>
            </w:r>
            <w:r w:rsidRPr="00592B91">
              <w:rPr>
                <w:b/>
                <w:bCs/>
                <w:spacing w:val="-1"/>
              </w:rPr>
              <w:t>an</w:t>
            </w:r>
            <w:r w:rsidRPr="00592B91">
              <w:rPr>
                <w:b/>
                <w:bCs/>
                <w:spacing w:val="1"/>
              </w:rPr>
              <w:t>c</w:t>
            </w:r>
            <w:r w:rsidRPr="00592B91">
              <w:rPr>
                <w:b/>
                <w:bCs/>
              </w:rPr>
              <w:t xml:space="preserve">e </w:t>
            </w:r>
            <w:r w:rsidRPr="00592B91">
              <w:rPr>
                <w:b/>
                <w:bCs/>
                <w:spacing w:val="1"/>
              </w:rPr>
              <w:t>N</w:t>
            </w:r>
            <w:r w:rsidRPr="00592B91">
              <w:rPr>
                <w:b/>
                <w:bCs/>
                <w:spacing w:val="-1"/>
              </w:rPr>
              <w:t>a</w:t>
            </w:r>
            <w:r w:rsidRPr="00592B91">
              <w:rPr>
                <w:b/>
                <w:bCs/>
              </w:rPr>
              <w:t>me</w:t>
            </w:r>
          </w:p>
        </w:tc>
      </w:tr>
      <w:tr w:rsidR="00ED5D2B" w:rsidRPr="00592B91" w:rsidTr="003C26EE">
        <w:trPr>
          <w:trHeight w:hRule="exact" w:val="310"/>
        </w:trPr>
        <w:tc>
          <w:tcPr>
            <w:tcW w:w="1615" w:type="dxa"/>
          </w:tcPr>
          <w:p w:rsidR="00ED5D2B" w:rsidRPr="00592B91" w:rsidRDefault="00ED5D2B" w:rsidP="009408F2">
            <w:pPr>
              <w:widowControl/>
              <w:ind w:left="405" w:right="-20"/>
              <w:jc w:val="left"/>
            </w:pPr>
            <w:r w:rsidRPr="00592B91">
              <w:rPr>
                <w:spacing w:val="1"/>
              </w:rPr>
              <w:t>1</w:t>
            </w:r>
            <w:r w:rsidRPr="00592B91">
              <w:rPr>
                <w:spacing w:val="-1"/>
              </w:rPr>
              <w:t>3</w:t>
            </w:r>
            <w:r w:rsidRPr="00592B91">
              <w:rPr>
                <w:spacing w:val="1"/>
              </w:rPr>
              <w:t>06</w:t>
            </w:r>
            <w:r w:rsidRPr="00592B91">
              <w:rPr>
                <w:spacing w:val="-3"/>
              </w:rPr>
              <w:t>-</w:t>
            </w:r>
            <w:r w:rsidRPr="00592B91">
              <w:rPr>
                <w:spacing w:val="1"/>
              </w:rPr>
              <w:t>23</w:t>
            </w:r>
            <w:r w:rsidRPr="00592B91">
              <w:rPr>
                <w:spacing w:val="-3"/>
              </w:rPr>
              <w:t>-</w:t>
            </w:r>
            <w:r w:rsidRPr="00592B91">
              <w:t>6</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s</w:t>
            </w:r>
            <w:r w:rsidRPr="00592B91">
              <w:rPr>
                <w:spacing w:val="-1"/>
              </w:rPr>
              <w:t>u</w:t>
            </w:r>
            <w:r w:rsidRPr="00592B91">
              <w:t>lfi</w:t>
            </w:r>
            <w:r w:rsidRPr="00592B91">
              <w:rPr>
                <w:spacing w:val="-1"/>
              </w:rPr>
              <w:t>d</w:t>
            </w:r>
            <w:r w:rsidRPr="00592B91">
              <w:t>e</w:t>
            </w:r>
            <w:r w:rsidRPr="00592B91">
              <w:rPr>
                <w:spacing w:val="1"/>
              </w:rPr>
              <w:t xml:space="preserve"> </w:t>
            </w:r>
            <w:r w:rsidRPr="00592B91">
              <w:t>(</w:t>
            </w:r>
            <w:proofErr w:type="spellStart"/>
            <w:r w:rsidRPr="00592B91">
              <w:t>C</w:t>
            </w:r>
            <w:r w:rsidRPr="00592B91">
              <w:rPr>
                <w:spacing w:val="-1"/>
              </w:rPr>
              <w:t>dS</w:t>
            </w:r>
            <w:proofErr w:type="spellEnd"/>
            <w:r w:rsidRPr="00592B91">
              <w:t>)</w:t>
            </w:r>
          </w:p>
        </w:tc>
      </w:tr>
      <w:tr w:rsidR="00ED5D2B" w:rsidRPr="00592B91" w:rsidTr="003C26EE">
        <w:trPr>
          <w:trHeight w:hRule="exact" w:val="310"/>
        </w:trPr>
        <w:tc>
          <w:tcPr>
            <w:tcW w:w="1615" w:type="dxa"/>
          </w:tcPr>
          <w:p w:rsidR="00ED5D2B" w:rsidRPr="00592B91" w:rsidRDefault="00ED5D2B" w:rsidP="009408F2">
            <w:pPr>
              <w:widowControl/>
              <w:ind w:left="405" w:right="-20"/>
              <w:jc w:val="left"/>
            </w:pPr>
            <w:r w:rsidRPr="00592B91">
              <w:rPr>
                <w:spacing w:val="1"/>
              </w:rPr>
              <w:t>1</w:t>
            </w:r>
            <w:r w:rsidRPr="00592B91">
              <w:rPr>
                <w:spacing w:val="-1"/>
              </w:rPr>
              <w:t>3</w:t>
            </w:r>
            <w:r w:rsidRPr="00592B91">
              <w:rPr>
                <w:spacing w:val="1"/>
              </w:rPr>
              <w:t>06</w:t>
            </w:r>
            <w:r w:rsidRPr="00592B91">
              <w:rPr>
                <w:spacing w:val="-3"/>
              </w:rPr>
              <w:t>-</w:t>
            </w:r>
            <w:r w:rsidRPr="00592B91">
              <w:rPr>
                <w:spacing w:val="1"/>
              </w:rPr>
              <w:t>24</w:t>
            </w:r>
            <w:r w:rsidRPr="00592B91">
              <w:rPr>
                <w:spacing w:val="-3"/>
              </w:rPr>
              <w:t>-</w:t>
            </w:r>
            <w:r w:rsidRPr="00592B91">
              <w:t>7</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s</w:t>
            </w:r>
            <w:r w:rsidRPr="00592B91">
              <w:rPr>
                <w:spacing w:val="1"/>
              </w:rPr>
              <w:t>e</w:t>
            </w:r>
            <w:r w:rsidRPr="00592B91">
              <w:rPr>
                <w:spacing w:val="-3"/>
              </w:rPr>
              <w:t>l</w:t>
            </w:r>
            <w:r w:rsidRPr="00592B91">
              <w:rPr>
                <w:spacing w:val="1"/>
              </w:rPr>
              <w:t>e</w:t>
            </w:r>
            <w:r w:rsidRPr="00592B91">
              <w:rPr>
                <w:spacing w:val="-1"/>
              </w:rPr>
              <w:t>n</w:t>
            </w:r>
            <w:r w:rsidRPr="00592B91">
              <w:t>i</w:t>
            </w:r>
            <w:r w:rsidRPr="00592B91">
              <w:rPr>
                <w:spacing w:val="-1"/>
              </w:rPr>
              <w:t>d</w:t>
            </w:r>
            <w:r w:rsidRPr="00592B91">
              <w:t>e</w:t>
            </w:r>
            <w:r w:rsidRPr="00592B91">
              <w:rPr>
                <w:spacing w:val="1"/>
              </w:rPr>
              <w:t xml:space="preserve"> </w:t>
            </w:r>
            <w:r w:rsidRPr="00592B91">
              <w:t>(</w:t>
            </w:r>
            <w:proofErr w:type="spellStart"/>
            <w:r w:rsidRPr="00592B91">
              <w:t>C</w:t>
            </w:r>
            <w:r w:rsidRPr="00592B91">
              <w:rPr>
                <w:spacing w:val="-1"/>
              </w:rPr>
              <w:t>dS</w:t>
            </w:r>
            <w:r w:rsidRPr="00592B91">
              <w:rPr>
                <w:spacing w:val="1"/>
              </w:rPr>
              <w:t>e</w:t>
            </w:r>
            <w:proofErr w:type="spellEnd"/>
            <w:r w:rsidRPr="00592B91">
              <w:t>)</w:t>
            </w:r>
          </w:p>
        </w:tc>
      </w:tr>
      <w:tr w:rsidR="00ED5D2B" w:rsidRPr="00592B91" w:rsidTr="003C26EE">
        <w:trPr>
          <w:trHeight w:hRule="exact" w:val="312"/>
        </w:trPr>
        <w:tc>
          <w:tcPr>
            <w:tcW w:w="1615" w:type="dxa"/>
          </w:tcPr>
          <w:p w:rsidR="00ED5D2B" w:rsidRPr="00592B91" w:rsidRDefault="00ED5D2B" w:rsidP="009408F2">
            <w:pPr>
              <w:widowControl/>
              <w:ind w:left="405" w:right="-20"/>
              <w:jc w:val="left"/>
            </w:pPr>
            <w:r w:rsidRPr="00592B91">
              <w:rPr>
                <w:spacing w:val="1"/>
              </w:rPr>
              <w:t>1</w:t>
            </w:r>
            <w:r w:rsidRPr="00592B91">
              <w:rPr>
                <w:spacing w:val="-1"/>
              </w:rPr>
              <w:t>3</w:t>
            </w:r>
            <w:r w:rsidRPr="00592B91">
              <w:rPr>
                <w:spacing w:val="1"/>
              </w:rPr>
              <w:t>06</w:t>
            </w:r>
            <w:r w:rsidRPr="00592B91">
              <w:rPr>
                <w:spacing w:val="-3"/>
              </w:rPr>
              <w:t>-</w:t>
            </w:r>
            <w:r w:rsidRPr="00592B91">
              <w:rPr>
                <w:spacing w:val="1"/>
              </w:rPr>
              <w:t>25</w:t>
            </w:r>
            <w:r w:rsidRPr="00592B91">
              <w:rPr>
                <w:spacing w:val="-3"/>
              </w:rPr>
              <w:t>-</w:t>
            </w:r>
            <w:r w:rsidRPr="00592B91">
              <w:t>8</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t</w:t>
            </w:r>
            <w:r w:rsidRPr="00592B91">
              <w:rPr>
                <w:spacing w:val="1"/>
              </w:rPr>
              <w:t>e</w:t>
            </w:r>
            <w:r w:rsidRPr="00592B91">
              <w:t>ll</w:t>
            </w:r>
            <w:r w:rsidRPr="00592B91">
              <w:rPr>
                <w:spacing w:val="-1"/>
              </w:rPr>
              <w:t>u</w:t>
            </w:r>
            <w:r w:rsidRPr="00592B91">
              <w:t>ri</w:t>
            </w:r>
            <w:r w:rsidRPr="00592B91">
              <w:rPr>
                <w:spacing w:val="-1"/>
              </w:rPr>
              <w:t>d</w:t>
            </w:r>
            <w:r w:rsidRPr="00592B91">
              <w:t>e</w:t>
            </w:r>
          </w:p>
          <w:p w:rsidR="00ED5D2B" w:rsidRPr="00592B91" w:rsidRDefault="00ED5D2B" w:rsidP="009408F2">
            <w:pPr>
              <w:widowControl/>
              <w:ind w:left="102" w:right="-20"/>
              <w:jc w:val="left"/>
            </w:pPr>
          </w:p>
        </w:tc>
      </w:tr>
      <w:tr w:rsidR="00ED5D2B" w:rsidRPr="00592B91" w:rsidTr="003C26EE">
        <w:trPr>
          <w:trHeight w:hRule="exact" w:val="312"/>
        </w:trPr>
        <w:tc>
          <w:tcPr>
            <w:tcW w:w="1615" w:type="dxa"/>
          </w:tcPr>
          <w:p w:rsidR="00ED5D2B" w:rsidRPr="00592B91" w:rsidRDefault="00ED5D2B" w:rsidP="009408F2">
            <w:pPr>
              <w:widowControl/>
              <w:ind w:left="292" w:right="-20"/>
              <w:jc w:val="left"/>
            </w:pPr>
            <w:r w:rsidRPr="00592B91">
              <w:rPr>
                <w:spacing w:val="1"/>
              </w:rPr>
              <w:t>1</w:t>
            </w:r>
            <w:r w:rsidRPr="00592B91">
              <w:rPr>
                <w:spacing w:val="-2"/>
              </w:rPr>
              <w:t>2</w:t>
            </w:r>
            <w:r w:rsidRPr="00592B91">
              <w:rPr>
                <w:spacing w:val="1"/>
              </w:rPr>
              <w:t>0</w:t>
            </w:r>
            <w:r w:rsidRPr="00592B91">
              <w:rPr>
                <w:spacing w:val="-2"/>
              </w:rPr>
              <w:t>1</w:t>
            </w:r>
            <w:r w:rsidRPr="00592B91">
              <w:rPr>
                <w:spacing w:val="1"/>
              </w:rPr>
              <w:t>4</w:t>
            </w:r>
            <w:r w:rsidRPr="00592B91">
              <w:t>-</w:t>
            </w:r>
            <w:r w:rsidRPr="00592B91">
              <w:rPr>
                <w:spacing w:val="-2"/>
              </w:rPr>
              <w:t>1</w:t>
            </w:r>
            <w:r w:rsidRPr="00592B91">
              <w:rPr>
                <w:spacing w:val="1"/>
              </w:rPr>
              <w:t>4</w:t>
            </w:r>
            <w:r w:rsidRPr="00592B91">
              <w:t>-1</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tita</w:t>
            </w:r>
            <w:r w:rsidRPr="00592B91">
              <w:rPr>
                <w:spacing w:val="-1"/>
              </w:rPr>
              <w:t>n</w:t>
            </w:r>
            <w:r w:rsidRPr="00592B91">
              <w:t>i</w:t>
            </w:r>
            <w:r w:rsidRPr="00592B91">
              <w:rPr>
                <w:spacing w:val="-3"/>
              </w:rPr>
              <w:t>u</w:t>
            </w:r>
            <w:r w:rsidRPr="00592B91">
              <w:t>m</w:t>
            </w:r>
            <w:r w:rsidRPr="00592B91">
              <w:rPr>
                <w:spacing w:val="-1"/>
              </w:rPr>
              <w:t xml:space="preserve"> </w:t>
            </w:r>
            <w:r w:rsidRPr="00592B91">
              <w:rPr>
                <w:spacing w:val="1"/>
              </w:rPr>
              <w:t>o</w:t>
            </w:r>
            <w:r w:rsidRPr="00592B91">
              <w:t>xi</w:t>
            </w:r>
            <w:r w:rsidRPr="00592B91">
              <w:rPr>
                <w:spacing w:val="-1"/>
              </w:rPr>
              <w:t>d</w:t>
            </w:r>
            <w:r w:rsidRPr="00592B91">
              <w:t>e</w:t>
            </w:r>
            <w:r w:rsidRPr="00592B91">
              <w:rPr>
                <w:spacing w:val="-1"/>
              </w:rPr>
              <w:t xml:space="preserve"> </w:t>
            </w:r>
            <w:r w:rsidRPr="00592B91">
              <w:t>(</w:t>
            </w:r>
            <w:r w:rsidRPr="00592B91">
              <w:rPr>
                <w:spacing w:val="-2"/>
              </w:rPr>
              <w:t>C</w:t>
            </w:r>
            <w:r w:rsidRPr="00592B91">
              <w:rPr>
                <w:spacing w:val="-1"/>
              </w:rPr>
              <w:t>d</w:t>
            </w:r>
            <w:r w:rsidRPr="00592B91">
              <w:t>TiO</w:t>
            </w:r>
            <w:r w:rsidRPr="00592B91">
              <w:rPr>
                <w:spacing w:val="1"/>
              </w:rPr>
              <w:t>3</w:t>
            </w:r>
            <w:r w:rsidRPr="00592B91">
              <w:t>)</w:t>
            </w:r>
          </w:p>
        </w:tc>
      </w:tr>
      <w:tr w:rsidR="00ED5D2B" w:rsidRPr="00592B91" w:rsidTr="003C26EE">
        <w:trPr>
          <w:trHeight w:hRule="exact" w:val="312"/>
        </w:trPr>
        <w:tc>
          <w:tcPr>
            <w:tcW w:w="1615" w:type="dxa"/>
          </w:tcPr>
          <w:p w:rsidR="00ED5D2B" w:rsidRPr="00592B91" w:rsidRDefault="00ED5D2B" w:rsidP="009408F2">
            <w:pPr>
              <w:widowControl/>
              <w:ind w:left="292" w:right="-20"/>
              <w:jc w:val="left"/>
            </w:pPr>
            <w:r w:rsidRPr="00592B91">
              <w:rPr>
                <w:spacing w:val="1"/>
              </w:rPr>
              <w:t>1</w:t>
            </w:r>
            <w:r w:rsidRPr="00592B91">
              <w:rPr>
                <w:spacing w:val="-2"/>
              </w:rPr>
              <w:t>2</w:t>
            </w:r>
            <w:r w:rsidRPr="00592B91">
              <w:rPr>
                <w:spacing w:val="1"/>
              </w:rPr>
              <w:t>2</w:t>
            </w:r>
            <w:r w:rsidRPr="00592B91">
              <w:rPr>
                <w:spacing w:val="-2"/>
              </w:rPr>
              <w:t>1</w:t>
            </w:r>
            <w:r w:rsidRPr="00592B91">
              <w:rPr>
                <w:spacing w:val="1"/>
              </w:rPr>
              <w:t>4</w:t>
            </w:r>
            <w:r w:rsidRPr="00592B91">
              <w:t>-</w:t>
            </w:r>
            <w:r w:rsidRPr="00592B91">
              <w:rPr>
                <w:spacing w:val="-2"/>
              </w:rPr>
              <w:t>1</w:t>
            </w:r>
            <w:r w:rsidRPr="00592B91">
              <w:rPr>
                <w:spacing w:val="1"/>
              </w:rPr>
              <w:t>2</w:t>
            </w:r>
            <w:r w:rsidRPr="00592B91">
              <w:t>-9</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s</w:t>
            </w:r>
            <w:r w:rsidRPr="00592B91">
              <w:rPr>
                <w:spacing w:val="1"/>
              </w:rPr>
              <w:t>e</w:t>
            </w:r>
            <w:r w:rsidRPr="00592B91">
              <w:rPr>
                <w:spacing w:val="-3"/>
              </w:rPr>
              <w:t>l</w:t>
            </w:r>
            <w:r w:rsidRPr="00592B91">
              <w:rPr>
                <w:spacing w:val="1"/>
              </w:rPr>
              <w:t>e</w:t>
            </w:r>
            <w:r w:rsidRPr="00592B91">
              <w:rPr>
                <w:spacing w:val="-1"/>
              </w:rPr>
              <w:t>n</w:t>
            </w:r>
            <w:r w:rsidRPr="00592B91">
              <w:t>i</w:t>
            </w:r>
            <w:r w:rsidRPr="00592B91">
              <w:rPr>
                <w:spacing w:val="-1"/>
              </w:rPr>
              <w:t>d</w:t>
            </w:r>
            <w:r w:rsidRPr="00592B91">
              <w:t>e</w:t>
            </w:r>
            <w:r w:rsidRPr="00592B91">
              <w:rPr>
                <w:spacing w:val="1"/>
              </w:rPr>
              <w:t xml:space="preserve"> </w:t>
            </w:r>
            <w:r w:rsidRPr="00592B91">
              <w:t>s</w:t>
            </w:r>
            <w:r w:rsidRPr="00592B91">
              <w:rPr>
                <w:spacing w:val="-1"/>
              </w:rPr>
              <w:t>u</w:t>
            </w:r>
            <w:r w:rsidRPr="00592B91">
              <w:t>lfi</w:t>
            </w:r>
            <w:r w:rsidRPr="00592B91">
              <w:rPr>
                <w:spacing w:val="-1"/>
              </w:rPr>
              <w:t>d</w:t>
            </w:r>
            <w:r w:rsidRPr="00592B91">
              <w:t>e</w:t>
            </w:r>
            <w:r w:rsidRPr="00592B91">
              <w:rPr>
                <w:spacing w:val="1"/>
              </w:rPr>
              <w:t xml:space="preserve"> </w:t>
            </w:r>
            <w:r w:rsidRPr="00592B91">
              <w:rPr>
                <w:spacing w:val="-2"/>
              </w:rPr>
              <w:t>(</w:t>
            </w:r>
            <w:r w:rsidRPr="00592B91">
              <w:t>C</w:t>
            </w:r>
            <w:r w:rsidRPr="00592B91">
              <w:rPr>
                <w:spacing w:val="-1"/>
              </w:rPr>
              <w:t>d</w:t>
            </w:r>
            <w:r w:rsidRPr="00592B91">
              <w:rPr>
                <w:spacing w:val="1"/>
              </w:rPr>
              <w:t>2</w:t>
            </w:r>
            <w:r w:rsidRPr="00592B91">
              <w:rPr>
                <w:spacing w:val="-1"/>
              </w:rPr>
              <w:t>S</w:t>
            </w:r>
            <w:r w:rsidRPr="00592B91">
              <w:rPr>
                <w:spacing w:val="1"/>
              </w:rPr>
              <w:t>e</w:t>
            </w:r>
            <w:r w:rsidRPr="00592B91">
              <w:rPr>
                <w:spacing w:val="-1"/>
              </w:rPr>
              <w:t>S</w:t>
            </w:r>
            <w:r w:rsidRPr="00592B91">
              <w:t>)</w:t>
            </w:r>
          </w:p>
        </w:tc>
      </w:tr>
      <w:tr w:rsidR="00ED5D2B" w:rsidRPr="00592B91" w:rsidTr="003C26EE">
        <w:trPr>
          <w:trHeight w:hRule="exact" w:val="312"/>
        </w:trPr>
        <w:tc>
          <w:tcPr>
            <w:tcW w:w="1615" w:type="dxa"/>
          </w:tcPr>
          <w:p w:rsidR="00ED5D2B" w:rsidRPr="00592B91" w:rsidRDefault="00ED5D2B" w:rsidP="009408F2">
            <w:pPr>
              <w:widowControl/>
              <w:ind w:left="292" w:right="-20"/>
              <w:jc w:val="left"/>
            </w:pPr>
            <w:r w:rsidRPr="00592B91">
              <w:t>12442-27-2</w:t>
            </w:r>
          </w:p>
        </w:tc>
        <w:tc>
          <w:tcPr>
            <w:tcW w:w="4623" w:type="dxa"/>
          </w:tcPr>
          <w:p w:rsidR="00ED5D2B" w:rsidRPr="00592B91" w:rsidRDefault="00ED5D2B" w:rsidP="009408F2">
            <w:pPr>
              <w:widowControl/>
              <w:ind w:left="102" w:right="-20"/>
              <w:jc w:val="left"/>
            </w:pPr>
            <w:r w:rsidRPr="00592B91">
              <w:t>Cadmium zinc sulfide ((</w:t>
            </w:r>
            <w:proofErr w:type="spellStart"/>
            <w:r w:rsidRPr="00592B91">
              <w:t>Cd,Zn</w:t>
            </w:r>
            <w:proofErr w:type="spellEnd"/>
            <w:r w:rsidRPr="00592B91">
              <w:t>)S)</w:t>
            </w:r>
          </w:p>
        </w:tc>
      </w:tr>
      <w:tr w:rsidR="00ED5D2B" w:rsidRPr="00592B91" w:rsidTr="003C26EE">
        <w:trPr>
          <w:trHeight w:hRule="exact" w:val="312"/>
        </w:trPr>
        <w:tc>
          <w:tcPr>
            <w:tcW w:w="1615" w:type="dxa"/>
          </w:tcPr>
          <w:p w:rsidR="00ED5D2B" w:rsidRPr="00592B91" w:rsidRDefault="00ED5D2B" w:rsidP="009408F2">
            <w:pPr>
              <w:widowControl/>
              <w:ind w:left="292" w:right="-20"/>
              <w:jc w:val="left"/>
            </w:pPr>
            <w:r w:rsidRPr="00592B91">
              <w:rPr>
                <w:spacing w:val="1"/>
              </w:rPr>
              <w:t>1</w:t>
            </w:r>
            <w:r w:rsidRPr="00592B91">
              <w:rPr>
                <w:spacing w:val="-2"/>
              </w:rPr>
              <w:t>2</w:t>
            </w:r>
            <w:r w:rsidRPr="00592B91">
              <w:rPr>
                <w:spacing w:val="1"/>
              </w:rPr>
              <w:t>6</w:t>
            </w:r>
            <w:r w:rsidRPr="00592B91">
              <w:rPr>
                <w:spacing w:val="-2"/>
              </w:rPr>
              <w:t>2</w:t>
            </w:r>
            <w:r w:rsidRPr="00592B91">
              <w:rPr>
                <w:spacing w:val="1"/>
              </w:rPr>
              <w:t>6</w:t>
            </w:r>
            <w:r w:rsidRPr="00592B91">
              <w:t>-</w:t>
            </w:r>
            <w:r w:rsidRPr="00592B91">
              <w:rPr>
                <w:spacing w:val="-2"/>
              </w:rPr>
              <w:t>3</w:t>
            </w:r>
            <w:r w:rsidRPr="00592B91">
              <w:rPr>
                <w:spacing w:val="1"/>
              </w:rPr>
              <w:t>6</w:t>
            </w:r>
            <w:r w:rsidRPr="00592B91">
              <w:t>-7</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w:t>
            </w:r>
            <w:r w:rsidRPr="00592B91">
              <w:t>s</w:t>
            </w:r>
            <w:r w:rsidRPr="00592B91">
              <w:rPr>
                <w:spacing w:val="1"/>
              </w:rPr>
              <w:t>e</w:t>
            </w:r>
            <w:r w:rsidRPr="00592B91">
              <w:rPr>
                <w:spacing w:val="-3"/>
              </w:rPr>
              <w:t>l</w:t>
            </w:r>
            <w:r w:rsidRPr="00592B91">
              <w:rPr>
                <w:spacing w:val="1"/>
              </w:rPr>
              <w:t>e</w:t>
            </w:r>
            <w:r w:rsidRPr="00592B91">
              <w:rPr>
                <w:spacing w:val="-1"/>
              </w:rPr>
              <w:t>n</w:t>
            </w:r>
            <w:r w:rsidRPr="00592B91">
              <w:t>i</w:t>
            </w:r>
            <w:r w:rsidRPr="00592B91">
              <w:rPr>
                <w:spacing w:val="-1"/>
              </w:rPr>
              <w:t>d</w:t>
            </w:r>
            <w:r w:rsidRPr="00592B91">
              <w:t>e</w:t>
            </w:r>
            <w:r w:rsidRPr="00592B91">
              <w:rPr>
                <w:spacing w:val="1"/>
              </w:rPr>
              <w:t xml:space="preserve"> </w:t>
            </w:r>
            <w:r w:rsidRPr="00592B91">
              <w:t>s</w:t>
            </w:r>
            <w:r w:rsidRPr="00592B91">
              <w:rPr>
                <w:spacing w:val="-1"/>
              </w:rPr>
              <w:t>u</w:t>
            </w:r>
            <w:r w:rsidRPr="00592B91">
              <w:t>lfi</w:t>
            </w:r>
            <w:r w:rsidRPr="00592B91">
              <w:rPr>
                <w:spacing w:val="-1"/>
              </w:rPr>
              <w:t>d</w:t>
            </w:r>
            <w:r w:rsidRPr="00592B91">
              <w:t>e</w:t>
            </w:r>
            <w:r w:rsidRPr="00592B91">
              <w:rPr>
                <w:spacing w:val="1"/>
              </w:rPr>
              <w:t xml:space="preserve"> </w:t>
            </w:r>
            <w:r w:rsidRPr="00592B91">
              <w:rPr>
                <w:spacing w:val="-2"/>
              </w:rPr>
              <w:t>(</w:t>
            </w:r>
            <w:r w:rsidRPr="00592B91">
              <w:t>C</w:t>
            </w:r>
            <w:r w:rsidRPr="00592B91">
              <w:rPr>
                <w:spacing w:val="-1"/>
              </w:rPr>
              <w:t>d</w:t>
            </w:r>
            <w:r w:rsidRPr="00592B91">
              <w:t>(</w:t>
            </w:r>
            <w:proofErr w:type="spellStart"/>
            <w:r w:rsidRPr="00592B91">
              <w:rPr>
                <w:spacing w:val="-1"/>
              </w:rPr>
              <w:t>S</w:t>
            </w:r>
            <w:r w:rsidRPr="00592B91">
              <w:rPr>
                <w:spacing w:val="1"/>
              </w:rPr>
              <w:t>e</w:t>
            </w:r>
            <w:r w:rsidRPr="00592B91">
              <w:t>,</w:t>
            </w:r>
            <w:r w:rsidRPr="00592B91">
              <w:rPr>
                <w:spacing w:val="-1"/>
              </w:rPr>
              <w:t>S</w:t>
            </w:r>
            <w:proofErr w:type="spellEnd"/>
            <w:r w:rsidRPr="00592B91">
              <w:t>))</w:t>
            </w:r>
          </w:p>
        </w:tc>
      </w:tr>
      <w:tr w:rsidR="00ED5D2B" w:rsidRPr="00592B91" w:rsidTr="003C26EE">
        <w:trPr>
          <w:trHeight w:hRule="exact" w:val="312"/>
        </w:trPr>
        <w:tc>
          <w:tcPr>
            <w:tcW w:w="1615" w:type="dxa"/>
          </w:tcPr>
          <w:p w:rsidR="00ED5D2B" w:rsidRPr="00592B91" w:rsidRDefault="00ED5D2B" w:rsidP="009408F2">
            <w:pPr>
              <w:widowControl/>
              <w:ind w:left="292" w:right="-20"/>
              <w:jc w:val="left"/>
            </w:pPr>
            <w:r w:rsidRPr="00592B91">
              <w:rPr>
                <w:spacing w:val="1"/>
              </w:rPr>
              <w:t>6</w:t>
            </w:r>
            <w:r w:rsidRPr="00592B91">
              <w:rPr>
                <w:spacing w:val="-2"/>
              </w:rPr>
              <w:t>8</w:t>
            </w:r>
            <w:r w:rsidRPr="00592B91">
              <w:rPr>
                <w:spacing w:val="1"/>
              </w:rPr>
              <w:t>5</w:t>
            </w:r>
            <w:r w:rsidRPr="00592B91">
              <w:rPr>
                <w:spacing w:val="-2"/>
              </w:rPr>
              <w:t>1</w:t>
            </w:r>
            <w:r w:rsidRPr="00592B91">
              <w:rPr>
                <w:spacing w:val="1"/>
              </w:rPr>
              <w:t>2</w:t>
            </w:r>
            <w:r w:rsidRPr="00592B91">
              <w:t>-</w:t>
            </w:r>
            <w:r w:rsidRPr="00592B91">
              <w:rPr>
                <w:spacing w:val="-2"/>
              </w:rPr>
              <w:t>4</w:t>
            </w:r>
            <w:r w:rsidRPr="00592B91">
              <w:rPr>
                <w:spacing w:val="1"/>
              </w:rPr>
              <w:t>9</w:t>
            </w:r>
            <w:r w:rsidRPr="00592B91">
              <w:t>-2</w:t>
            </w:r>
          </w:p>
        </w:tc>
        <w:tc>
          <w:tcPr>
            <w:tcW w:w="4623" w:type="dxa"/>
          </w:tcPr>
          <w:p w:rsidR="00ED5D2B" w:rsidRPr="00592B91" w:rsidRDefault="00ED5D2B" w:rsidP="009408F2">
            <w:pPr>
              <w:widowControl/>
              <w:ind w:left="102" w:right="-20"/>
              <w:jc w:val="left"/>
            </w:pPr>
            <w:r w:rsidRPr="00592B91">
              <w:t>Ca</w:t>
            </w:r>
            <w:r w:rsidRPr="00592B91">
              <w:rPr>
                <w:spacing w:val="-1"/>
              </w:rPr>
              <w:t>d</w:t>
            </w:r>
            <w:r w:rsidRPr="00592B91">
              <w:rPr>
                <w:spacing w:val="1"/>
              </w:rPr>
              <w:t>m</w:t>
            </w:r>
            <w:r w:rsidRPr="00592B91">
              <w:t>i</w:t>
            </w:r>
            <w:r w:rsidRPr="00592B91">
              <w:rPr>
                <w:spacing w:val="-1"/>
              </w:rPr>
              <w:t>u</w:t>
            </w:r>
            <w:r w:rsidRPr="00592B91">
              <w:t>m</w:t>
            </w:r>
            <w:r w:rsidRPr="00592B91">
              <w:rPr>
                <w:spacing w:val="-1"/>
              </w:rPr>
              <w:t xml:space="preserve"> z</w:t>
            </w:r>
            <w:r w:rsidRPr="00592B91">
              <w:t>i</w:t>
            </w:r>
            <w:r w:rsidRPr="00592B91">
              <w:rPr>
                <w:spacing w:val="-1"/>
              </w:rPr>
              <w:t>n</w:t>
            </w:r>
            <w:r w:rsidRPr="00592B91">
              <w:t>c</w:t>
            </w:r>
            <w:r w:rsidRPr="00592B91">
              <w:rPr>
                <w:spacing w:val="1"/>
              </w:rPr>
              <w:t xml:space="preserve"> </w:t>
            </w:r>
            <w:r w:rsidRPr="00592B91">
              <w:t>s</w:t>
            </w:r>
            <w:r w:rsidRPr="00592B91">
              <w:rPr>
                <w:spacing w:val="-1"/>
              </w:rPr>
              <w:t>u</w:t>
            </w:r>
            <w:r w:rsidRPr="00592B91">
              <w:t>lfi</w:t>
            </w:r>
            <w:r w:rsidRPr="00592B91">
              <w:rPr>
                <w:spacing w:val="-1"/>
              </w:rPr>
              <w:t>d</w:t>
            </w:r>
            <w:r w:rsidRPr="00592B91">
              <w:t>e</w:t>
            </w:r>
            <w:r w:rsidRPr="00592B91">
              <w:rPr>
                <w:spacing w:val="1"/>
              </w:rPr>
              <w:t xml:space="preserve"> </w:t>
            </w:r>
            <w:r w:rsidRPr="00592B91">
              <w:rPr>
                <w:spacing w:val="-2"/>
              </w:rPr>
              <w:t>(</w:t>
            </w:r>
            <w:r w:rsidRPr="00592B91">
              <w:t>(</w:t>
            </w:r>
            <w:proofErr w:type="spellStart"/>
            <w:r w:rsidRPr="00592B91">
              <w:t>C</w:t>
            </w:r>
            <w:r w:rsidRPr="00592B91">
              <w:rPr>
                <w:spacing w:val="-1"/>
              </w:rPr>
              <w:t>d</w:t>
            </w:r>
            <w:r w:rsidRPr="00592B91">
              <w:rPr>
                <w:spacing w:val="-2"/>
              </w:rPr>
              <w:t>,</w:t>
            </w:r>
            <w:r w:rsidRPr="00592B91">
              <w:t>Z</w:t>
            </w:r>
            <w:r w:rsidRPr="00592B91">
              <w:rPr>
                <w:spacing w:val="-1"/>
              </w:rPr>
              <w:t>n</w:t>
            </w:r>
            <w:proofErr w:type="spellEnd"/>
            <w:r w:rsidRPr="00592B91">
              <w:t>)</w:t>
            </w:r>
            <w:r w:rsidRPr="00592B91">
              <w:rPr>
                <w:spacing w:val="-1"/>
              </w:rPr>
              <w:t>S</w:t>
            </w:r>
            <w:r w:rsidRPr="00592B91">
              <w:t>),</w:t>
            </w:r>
            <w:r w:rsidRPr="00592B91">
              <w:rPr>
                <w:spacing w:val="1"/>
              </w:rPr>
              <w:t xml:space="preserve"> </w:t>
            </w:r>
            <w:r w:rsidRPr="00592B91">
              <w:t>c</w:t>
            </w:r>
            <w:r w:rsidRPr="00592B91">
              <w:rPr>
                <w:spacing w:val="1"/>
              </w:rPr>
              <w:t>o</w:t>
            </w:r>
            <w:r w:rsidRPr="00592B91">
              <w:rPr>
                <w:spacing w:val="-1"/>
              </w:rPr>
              <w:t>p</w:t>
            </w:r>
            <w:r w:rsidRPr="00592B91">
              <w:rPr>
                <w:spacing w:val="-3"/>
              </w:rPr>
              <w:t>p</w:t>
            </w:r>
            <w:r w:rsidRPr="00592B91">
              <w:rPr>
                <w:spacing w:val="1"/>
              </w:rPr>
              <w:t>e</w:t>
            </w:r>
            <w:r w:rsidRPr="00592B91">
              <w:t>r c</w:t>
            </w:r>
            <w:r w:rsidRPr="00592B91">
              <w:rPr>
                <w:spacing w:val="-1"/>
              </w:rPr>
              <w:t>h</w:t>
            </w:r>
            <w:r w:rsidRPr="00592B91">
              <w:rPr>
                <w:spacing w:val="-3"/>
              </w:rPr>
              <w:t>l</w:t>
            </w:r>
            <w:r w:rsidRPr="00592B91">
              <w:rPr>
                <w:spacing w:val="1"/>
              </w:rPr>
              <w:t>o</w:t>
            </w:r>
            <w:r w:rsidRPr="00592B91">
              <w:t>ri</w:t>
            </w:r>
            <w:r w:rsidRPr="00592B91">
              <w:rPr>
                <w:spacing w:val="-1"/>
              </w:rPr>
              <w:t>d</w:t>
            </w:r>
            <w:r w:rsidRPr="00592B91">
              <w:rPr>
                <w:spacing w:val="1"/>
              </w:rPr>
              <w:t>e</w:t>
            </w:r>
            <w:r w:rsidRPr="00592B91">
              <w:t>-</w:t>
            </w:r>
            <w:r w:rsidRPr="00592B91">
              <w:rPr>
                <w:spacing w:val="-1"/>
              </w:rPr>
              <w:t>d</w:t>
            </w:r>
            <w:r w:rsidRPr="00592B91">
              <w:rPr>
                <w:spacing w:val="1"/>
              </w:rPr>
              <w:t>o</w:t>
            </w:r>
            <w:r w:rsidRPr="00592B91">
              <w:rPr>
                <w:spacing w:val="-3"/>
              </w:rPr>
              <w:t>p</w:t>
            </w:r>
            <w:r w:rsidRPr="00592B91">
              <w:t>ed</w:t>
            </w:r>
          </w:p>
        </w:tc>
      </w:tr>
    </w:tbl>
    <w:p w:rsidR="00ED5D2B" w:rsidRPr="00592B91" w:rsidRDefault="00ED5D2B" w:rsidP="009408F2"/>
    <w:p w:rsidR="00356844" w:rsidRPr="00592B91" w:rsidRDefault="00356844" w:rsidP="009408F2">
      <w:r w:rsidRPr="00592B91">
        <w:t xml:space="preserve">Based on the results of the survey, ECCC and HC will prepare a final list of confirmed existing nanomaterials in Canada and will use the list for subsequent prioritization.  ECCC and HC propose that, where possible, the substances identified via the survey be “rolled up into” their broader parent nanomaterial groups for the purposes of prioritization.  According to ECCC and HC, this will allow, when possible, a more robust look at the hazard, volume, and use data as appropriate, rather than considering an individual substance-by-substance approach.  ECCC and HC state that further consideration for sub-grouping (such as by use, unique property, or functionalization) may need to be considered for prioritization and/or risk assessment.  </w:t>
      </w:r>
      <w:r w:rsidRPr="00592B91">
        <w:rPr>
          <w:lang w:val="en"/>
        </w:rPr>
        <w:t>Comments on the proposed prioritization approach were due September 25, 2016.  More information is available in B&amp;C’s August 4, 2016, blog item, “</w:t>
      </w:r>
      <w:hyperlink r:id="rId30" w:history="1">
        <w:r w:rsidRPr="00592B91">
          <w:rPr>
            <w:rStyle w:val="Hyperlink"/>
            <w:lang w:val="en"/>
          </w:rPr>
          <w:t>Canada Begins Consultation on Proposed Prioritization Approach for Nanoscale Forms of DSL Substances</w:t>
        </w:r>
      </w:hyperlink>
      <w:r w:rsidRPr="00592B91">
        <w:rPr>
          <w:lang w:val="en"/>
        </w:rPr>
        <w:t>.”</w:t>
      </w:r>
    </w:p>
    <w:p w:rsidR="00356844" w:rsidRPr="00592B91" w:rsidRDefault="00356844" w:rsidP="009408F2">
      <w:pPr>
        <w:pStyle w:val="NormalWeb"/>
        <w:widowControl w:val="0"/>
        <w:spacing w:before="0" w:beforeAutospacing="0" w:after="0" w:afterAutospacing="0"/>
        <w:jc w:val="both"/>
        <w:rPr>
          <w:rFonts w:ascii="Times New Roman" w:hAnsi="Times New Roman" w:cs="Times New Roman"/>
        </w:rPr>
      </w:pPr>
    </w:p>
    <w:p w:rsidR="003758FF" w:rsidRPr="00592B91" w:rsidRDefault="003758FF" w:rsidP="009408F2">
      <w:pPr>
        <w:rPr>
          <w:b/>
        </w:rPr>
      </w:pPr>
      <w:r w:rsidRPr="00592B91">
        <w:rPr>
          <w:b/>
        </w:rPr>
        <w:t>Canada Determines 612 Substances Do Not Meet CEPA Section 64 Criteria</w:t>
      </w:r>
    </w:p>
    <w:p w:rsidR="003758FF" w:rsidRPr="00592B91" w:rsidRDefault="003758FF" w:rsidP="009408F2">
      <w:pPr>
        <w:pStyle w:val="NormalWeb"/>
        <w:widowControl w:val="0"/>
        <w:spacing w:before="0" w:beforeAutospacing="0" w:after="0" w:afterAutospacing="0"/>
        <w:jc w:val="both"/>
        <w:rPr>
          <w:rFonts w:ascii="Times New Roman" w:hAnsi="Times New Roman" w:cs="Times New Roman"/>
        </w:rPr>
      </w:pPr>
    </w:p>
    <w:p w:rsidR="003758FF" w:rsidRPr="00592B91" w:rsidRDefault="003758FF" w:rsidP="009408F2">
      <w:pPr>
        <w:pStyle w:val="alignleft"/>
        <w:spacing w:before="0" w:beforeAutospacing="0" w:after="0" w:afterAutospacing="0"/>
        <w:jc w:val="both"/>
      </w:pPr>
      <w:r w:rsidRPr="00592B91">
        <w:t xml:space="preserve">The August 27, 2016, issue of the </w:t>
      </w:r>
      <w:r w:rsidRPr="00592B91">
        <w:rPr>
          <w:i/>
        </w:rPr>
        <w:t>Canada Gazette</w:t>
      </w:r>
      <w:r w:rsidRPr="00592B91">
        <w:t xml:space="preserve"> includes a </w:t>
      </w:r>
      <w:hyperlink r:id="rId31" w:anchor="nb1" w:history="1">
        <w:r w:rsidRPr="00592B91">
          <w:rPr>
            <w:rStyle w:val="Hyperlink"/>
          </w:rPr>
          <w:t>notice</w:t>
        </w:r>
      </w:hyperlink>
      <w:r w:rsidRPr="00592B91">
        <w:t xml:space="preserve"> publishing the final decision of the Department of the Environment and the Department of Health after screening assessment of 612 substances specified on the DSL.  According to the notice, the 612 substances do not meet </w:t>
      </w:r>
      <w:r w:rsidRPr="00592B91">
        <w:lastRenderedPageBreak/>
        <w:t xml:space="preserve">any of the criteria set out in CEPA Section 64, as they are not entering the environment in a quantity or concentration or under conditions that have or may have an immediate or long-term harmful effect on the environment or its biological diversity or that constitute or may constitute a danger to the environment on which life depends.  The list of substances identified as not meeting any of the CEPA Section 64 criteria include:  </w:t>
      </w:r>
    </w:p>
    <w:p w:rsidR="003758FF" w:rsidRPr="00592B91" w:rsidRDefault="003758FF" w:rsidP="009408F2">
      <w:pPr>
        <w:pStyle w:val="alignleft"/>
        <w:spacing w:before="0" w:beforeAutospacing="0" w:after="0" w:afterAutospacing="0"/>
        <w:jc w:val="both"/>
      </w:pPr>
    </w:p>
    <w:tbl>
      <w:tblPr>
        <w:tblStyle w:val="TableGrid"/>
        <w:tblW w:w="0" w:type="auto"/>
        <w:tblLook w:val="04A0" w:firstRow="1" w:lastRow="0" w:firstColumn="1" w:lastColumn="0" w:noHBand="0" w:noVBand="1"/>
      </w:tblPr>
      <w:tblGrid>
        <w:gridCol w:w="1818"/>
        <w:gridCol w:w="7758"/>
      </w:tblGrid>
      <w:tr w:rsidR="003758FF" w:rsidRPr="00592B91" w:rsidTr="00060E47">
        <w:trPr>
          <w:tblHeader/>
        </w:trPr>
        <w:tc>
          <w:tcPr>
            <w:tcW w:w="1818" w:type="dxa"/>
          </w:tcPr>
          <w:p w:rsidR="003758FF" w:rsidRPr="00592B91" w:rsidRDefault="003758FF" w:rsidP="009408F2">
            <w:pPr>
              <w:pStyle w:val="NormalWeb"/>
              <w:widowControl w:val="0"/>
              <w:spacing w:before="0" w:beforeAutospacing="0" w:after="0" w:afterAutospacing="0"/>
              <w:jc w:val="both"/>
              <w:rPr>
                <w:rFonts w:ascii="Times New Roman" w:hAnsi="Times New Roman" w:cs="Times New Roman"/>
                <w:b/>
              </w:rPr>
            </w:pPr>
            <w:r w:rsidRPr="00592B91">
              <w:rPr>
                <w:rFonts w:ascii="Times New Roman" w:hAnsi="Times New Roman" w:cs="Times New Roman"/>
                <w:b/>
              </w:rPr>
              <w:t>CAS Number</w:t>
            </w:r>
          </w:p>
        </w:tc>
        <w:tc>
          <w:tcPr>
            <w:tcW w:w="7758" w:type="dxa"/>
          </w:tcPr>
          <w:p w:rsidR="003758FF" w:rsidRPr="00592B91" w:rsidRDefault="003758FF" w:rsidP="009408F2">
            <w:pPr>
              <w:pStyle w:val="NormalWeb"/>
              <w:widowControl w:val="0"/>
              <w:spacing w:before="0" w:beforeAutospacing="0" w:after="0" w:afterAutospacing="0"/>
              <w:jc w:val="both"/>
              <w:rPr>
                <w:rFonts w:ascii="Times New Roman" w:hAnsi="Times New Roman" w:cs="Times New Roman"/>
                <w:b/>
              </w:rPr>
            </w:pPr>
            <w:r w:rsidRPr="00592B91">
              <w:rPr>
                <w:rFonts w:ascii="Times New Roman" w:hAnsi="Times New Roman" w:cs="Times New Roman"/>
                <w:b/>
              </w:rPr>
              <w:t>DSL Name</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542-83-6</w:t>
            </w:r>
          </w:p>
        </w:tc>
        <w:tc>
          <w:tcPr>
            <w:tcW w:w="7758" w:type="dxa"/>
            <w:vAlign w:val="center"/>
          </w:tcPr>
          <w:p w:rsidR="003758FF" w:rsidRPr="00592B91" w:rsidRDefault="003758FF" w:rsidP="009408F2">
            <w:pPr>
              <w:pStyle w:val="alignleft"/>
              <w:spacing w:before="0" w:beforeAutospacing="0" w:after="0" w:afterAutospacing="0"/>
            </w:pPr>
            <w:r w:rsidRPr="00592B91">
              <w:t>Cadmium cyanide (Cd(CN)2)</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7790-80-9</w:t>
            </w:r>
          </w:p>
        </w:tc>
        <w:tc>
          <w:tcPr>
            <w:tcW w:w="7758" w:type="dxa"/>
            <w:vAlign w:val="center"/>
          </w:tcPr>
          <w:p w:rsidR="003758FF" w:rsidRPr="00592B91" w:rsidRDefault="003758FF" w:rsidP="009408F2">
            <w:pPr>
              <w:pStyle w:val="alignleft"/>
              <w:spacing w:before="0" w:beforeAutospacing="0" w:after="0" w:afterAutospacing="0"/>
            </w:pPr>
            <w:r w:rsidRPr="00592B91">
              <w:t>Cadmium iodide (CdI2)</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12014-14-1</w:t>
            </w:r>
          </w:p>
        </w:tc>
        <w:tc>
          <w:tcPr>
            <w:tcW w:w="7758" w:type="dxa"/>
            <w:vAlign w:val="center"/>
          </w:tcPr>
          <w:p w:rsidR="003758FF" w:rsidRPr="00592B91" w:rsidRDefault="003758FF" w:rsidP="009408F2">
            <w:pPr>
              <w:pStyle w:val="alignleft"/>
              <w:spacing w:before="0" w:beforeAutospacing="0" w:after="0" w:afterAutospacing="0"/>
            </w:pPr>
            <w:r w:rsidRPr="00592B91">
              <w:t>Cadmium titanium oxide (CdTiO3)</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69012-57-3</w:t>
            </w:r>
          </w:p>
        </w:tc>
        <w:tc>
          <w:tcPr>
            <w:tcW w:w="7758" w:type="dxa"/>
            <w:vAlign w:val="center"/>
          </w:tcPr>
          <w:p w:rsidR="003758FF" w:rsidRPr="00592B91" w:rsidRDefault="003758FF" w:rsidP="009408F2">
            <w:pPr>
              <w:pStyle w:val="alignleft"/>
              <w:spacing w:before="0" w:beforeAutospacing="0" w:after="0" w:afterAutospacing="0"/>
            </w:pPr>
            <w:r w:rsidRPr="00592B91">
              <w:t>Flue dust, cadmium-refining</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69029-63-6</w:t>
            </w:r>
          </w:p>
        </w:tc>
        <w:tc>
          <w:tcPr>
            <w:tcW w:w="7758" w:type="dxa"/>
            <w:vAlign w:val="center"/>
          </w:tcPr>
          <w:p w:rsidR="003758FF" w:rsidRPr="00592B91" w:rsidRDefault="003758FF" w:rsidP="009408F2">
            <w:pPr>
              <w:pStyle w:val="alignleft"/>
              <w:spacing w:before="0" w:beforeAutospacing="0" w:after="0" w:afterAutospacing="0"/>
            </w:pPr>
            <w:r w:rsidRPr="00592B91">
              <w:t>Calcines, cadmium residue</w:t>
            </w:r>
          </w:p>
        </w:tc>
      </w:tr>
      <w:tr w:rsidR="003758FF" w:rsidRPr="00592B91" w:rsidTr="00060E47">
        <w:tc>
          <w:tcPr>
            <w:tcW w:w="1818" w:type="dxa"/>
            <w:vAlign w:val="center"/>
          </w:tcPr>
          <w:p w:rsidR="003758FF" w:rsidRPr="00592B91" w:rsidRDefault="003758FF" w:rsidP="009408F2">
            <w:pPr>
              <w:pStyle w:val="alignleft"/>
              <w:spacing w:before="0" w:beforeAutospacing="0" w:after="0" w:afterAutospacing="0"/>
            </w:pPr>
            <w:r w:rsidRPr="00592B91">
              <w:t>69029-91-0</w:t>
            </w:r>
          </w:p>
        </w:tc>
        <w:tc>
          <w:tcPr>
            <w:tcW w:w="7758" w:type="dxa"/>
            <w:vAlign w:val="center"/>
          </w:tcPr>
          <w:p w:rsidR="003758FF" w:rsidRPr="00592B91" w:rsidRDefault="003758FF" w:rsidP="009408F2">
            <w:pPr>
              <w:pStyle w:val="alignleft"/>
              <w:spacing w:before="0" w:beforeAutospacing="0" w:after="0" w:afterAutospacing="0"/>
            </w:pPr>
            <w:r w:rsidRPr="00592B91">
              <w:t xml:space="preserve">Slimes and </w:t>
            </w:r>
            <w:proofErr w:type="spellStart"/>
            <w:r w:rsidRPr="00592B91">
              <w:t>Sludges</w:t>
            </w:r>
            <w:proofErr w:type="spellEnd"/>
            <w:r w:rsidRPr="00592B91">
              <w:t>, cadmium sump tank</w:t>
            </w:r>
          </w:p>
        </w:tc>
      </w:tr>
    </w:tbl>
    <w:p w:rsidR="003758FF" w:rsidRPr="00592B91" w:rsidRDefault="003758FF" w:rsidP="009408F2">
      <w:pPr>
        <w:pStyle w:val="NormalWeb"/>
        <w:widowControl w:val="0"/>
        <w:spacing w:before="0" w:beforeAutospacing="0" w:after="0" w:afterAutospacing="0"/>
        <w:jc w:val="both"/>
        <w:rPr>
          <w:rFonts w:ascii="Times New Roman" w:hAnsi="Times New Roman" w:cs="Times New Roman"/>
        </w:rPr>
      </w:pPr>
    </w:p>
    <w:p w:rsidR="00C86C76" w:rsidRPr="00592B91" w:rsidRDefault="005B6704" w:rsidP="009408F2">
      <w:pPr>
        <w:widowControl/>
        <w:jc w:val="center"/>
        <w:rPr>
          <w:b/>
        </w:rPr>
      </w:pPr>
      <w:r w:rsidRPr="00592B91">
        <w:rPr>
          <w:b/>
        </w:rPr>
        <w:t>CHINA</w:t>
      </w:r>
    </w:p>
    <w:p w:rsidR="00C86C76" w:rsidRPr="00592B91" w:rsidRDefault="00C86C76" w:rsidP="009408F2">
      <w:pPr>
        <w:widowControl/>
      </w:pPr>
    </w:p>
    <w:p w:rsidR="004139A4" w:rsidRPr="00592B91" w:rsidRDefault="004139A4" w:rsidP="009408F2">
      <w:pPr>
        <w:pStyle w:val="NormalWeb"/>
        <w:widowControl w:val="0"/>
        <w:spacing w:before="0" w:beforeAutospacing="0" w:after="0" w:afterAutospacing="0"/>
        <w:jc w:val="both"/>
        <w:rPr>
          <w:rFonts w:ascii="Times New Roman" w:hAnsi="Times New Roman" w:cs="Times New Roman"/>
          <w:b/>
        </w:rPr>
      </w:pPr>
      <w:r w:rsidRPr="00592B91">
        <w:rPr>
          <w:rFonts w:ascii="Times New Roman" w:hAnsi="Times New Roman" w:cs="Times New Roman"/>
          <w:b/>
        </w:rPr>
        <w:t>Resource Tax Reform Took Effect July 1</w:t>
      </w:r>
    </w:p>
    <w:p w:rsidR="004139A4" w:rsidRPr="00592B91" w:rsidRDefault="004139A4" w:rsidP="009408F2">
      <w:pPr>
        <w:pStyle w:val="NormalWeb"/>
        <w:widowControl w:val="0"/>
        <w:spacing w:before="0" w:beforeAutospacing="0" w:after="0" w:afterAutospacing="0"/>
        <w:jc w:val="both"/>
        <w:rPr>
          <w:rFonts w:ascii="Times New Roman" w:hAnsi="Times New Roman" w:cs="Times New Roman"/>
        </w:rPr>
      </w:pPr>
    </w:p>
    <w:p w:rsidR="004139A4" w:rsidRPr="00592B91" w:rsidRDefault="004139A4" w:rsidP="009408F2">
      <w:pPr>
        <w:pStyle w:val="NormalWeb"/>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A comprehensive reform of the resource tax system took effect on July 1, 2016.  SAT and MOF intend the reform to modernize and strengthen China’s approach to natural resources.  Since 2010, China has experimented with taxes based on price instead of quantity for six mineral products:  coal, gas, molybdenum, oil, rare earth, and tungsten.  China implemented the </w:t>
      </w:r>
      <w:r w:rsidRPr="00592B91">
        <w:rPr>
          <w:rFonts w:ascii="Times New Roman" w:hAnsi="Times New Roman" w:cs="Times New Roman"/>
          <w:i/>
        </w:rPr>
        <w:t>ad valorem</w:t>
      </w:r>
      <w:r w:rsidRPr="00592B91">
        <w:rPr>
          <w:rFonts w:ascii="Times New Roman" w:hAnsi="Times New Roman" w:cs="Times New Roman"/>
        </w:rPr>
        <w:t xml:space="preserve"> taxation method to standardize the interaction between resource taxes and administration fees to establish a fairer and more efficient resource taxation system.  Because of the success of the 2010 pilot, the main feature of the reform is to implement fully the </w:t>
      </w:r>
      <w:r w:rsidRPr="00592B91">
        <w:rPr>
          <w:rFonts w:ascii="Times New Roman" w:hAnsi="Times New Roman" w:cs="Times New Roman"/>
          <w:i/>
        </w:rPr>
        <w:t>ad valorem</w:t>
      </w:r>
      <w:r w:rsidRPr="00592B91">
        <w:rPr>
          <w:rFonts w:ascii="Times New Roman" w:hAnsi="Times New Roman" w:cs="Times New Roman"/>
        </w:rPr>
        <w:t xml:space="preserve"> taxation method.  As of July 1, 2016, it is now extended to most mineral products, although clay and sandstone will still be taxed by volume.  Metals and mineral products not listed will be taxed at a rate not exceeding 20 percent on unprocessed ore.  Minerals extracted from low grade ore, waste rock, slag, sewerage, waste gas, and other such waste mineral products will receive a resource tax exemption or a reduced tax rate at the provincial level government’s discretion.  Resources obtained by backfill mining methods will receive a 50 percent reduction on resource tax, and resources derived from exhaustion stage mines and low abundance oilfields will receive a 30 percent reduction on resource tax.  The reform canceled funding and charges related to mineral resources, including all types of mineral subsidies and the mineral resources administration fee.</w:t>
      </w:r>
    </w:p>
    <w:p w:rsidR="004139A4" w:rsidRPr="00592B91" w:rsidRDefault="004139A4" w:rsidP="009408F2">
      <w:pPr>
        <w:pStyle w:val="NormalWeb"/>
        <w:spacing w:before="0" w:beforeAutospacing="0" w:after="0" w:afterAutospacing="0"/>
        <w:jc w:val="both"/>
        <w:rPr>
          <w:rFonts w:ascii="Times New Roman" w:hAnsi="Times New Roman" w:cs="Times New Roman"/>
        </w:rPr>
      </w:pPr>
    </w:p>
    <w:p w:rsidR="00C86C76" w:rsidRPr="00592B91" w:rsidRDefault="0059290F" w:rsidP="009408F2">
      <w:pPr>
        <w:pStyle w:val="NormalWeb"/>
        <w:widowControl w:val="0"/>
        <w:spacing w:before="0" w:beforeAutospacing="0" w:after="0" w:afterAutospacing="0"/>
        <w:jc w:val="both"/>
        <w:rPr>
          <w:rFonts w:ascii="Times New Roman" w:hAnsi="Times New Roman" w:cs="Times New Roman"/>
          <w:b/>
        </w:rPr>
      </w:pPr>
      <w:r w:rsidRPr="00592B91">
        <w:rPr>
          <w:rFonts w:ascii="Times New Roman" w:hAnsi="Times New Roman" w:cs="Times New Roman"/>
          <w:b/>
        </w:rPr>
        <w:t xml:space="preserve">Government Reportedly Buys Cadmium-Tainted Wheat </w:t>
      </w:r>
      <w:proofErr w:type="gramStart"/>
      <w:r w:rsidRPr="00592B91">
        <w:rPr>
          <w:rFonts w:ascii="Times New Roman" w:hAnsi="Times New Roman" w:cs="Times New Roman"/>
          <w:b/>
        </w:rPr>
        <w:t>For</w:t>
      </w:r>
      <w:proofErr w:type="gramEnd"/>
      <w:r w:rsidRPr="00592B91">
        <w:rPr>
          <w:rFonts w:ascii="Times New Roman" w:hAnsi="Times New Roman" w:cs="Times New Roman"/>
          <w:b/>
        </w:rPr>
        <w:t xml:space="preserve"> Ethanol And Industrial Use</w:t>
      </w:r>
    </w:p>
    <w:p w:rsidR="0059290F" w:rsidRPr="00592B91" w:rsidRDefault="0059290F" w:rsidP="009408F2">
      <w:pPr>
        <w:pStyle w:val="NormalWeb"/>
        <w:widowControl w:val="0"/>
        <w:spacing w:before="0" w:beforeAutospacing="0" w:after="0" w:afterAutospacing="0"/>
        <w:jc w:val="both"/>
        <w:rPr>
          <w:rFonts w:ascii="Times New Roman" w:hAnsi="Times New Roman" w:cs="Times New Roman"/>
        </w:rPr>
      </w:pPr>
    </w:p>
    <w:p w:rsidR="0059290F" w:rsidRPr="00592B91" w:rsidRDefault="0059290F" w:rsidP="009408F2">
      <w:pPr>
        <w:pStyle w:val="NormalWeb"/>
        <w:widowControl w:val="0"/>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On August 29, 2016, a spokesperson for the </w:t>
      </w:r>
      <w:r w:rsidR="00361A5E" w:rsidRPr="00592B91">
        <w:rPr>
          <w:rFonts w:ascii="Times New Roman" w:hAnsi="Times New Roman" w:cs="Times New Roman"/>
        </w:rPr>
        <w:t xml:space="preserve">local </w:t>
      </w:r>
      <w:r w:rsidRPr="00592B91">
        <w:rPr>
          <w:rFonts w:ascii="Times New Roman" w:hAnsi="Times New Roman" w:cs="Times New Roman"/>
        </w:rPr>
        <w:t>Environmental Protection Burea</w:t>
      </w:r>
      <w:r w:rsidR="00361A5E" w:rsidRPr="00592B91">
        <w:rPr>
          <w:rFonts w:ascii="Times New Roman" w:hAnsi="Times New Roman" w:cs="Times New Roman"/>
        </w:rPr>
        <w:t>u</w:t>
      </w:r>
      <w:r w:rsidRPr="00592B91">
        <w:rPr>
          <w:rFonts w:ascii="Times New Roman" w:hAnsi="Times New Roman" w:cs="Times New Roman"/>
        </w:rPr>
        <w:t xml:space="preserve"> stated that the Xinxiang government purchased all </w:t>
      </w:r>
      <w:r w:rsidRPr="00592B91">
        <w:rPr>
          <w:rFonts w:ascii="Times New Roman" w:hAnsi="Times New Roman" w:cs="Times New Roman"/>
          <w:b/>
        </w:rPr>
        <w:t>cadmium</w:t>
      </w:r>
      <w:r w:rsidRPr="00592B91">
        <w:rPr>
          <w:rFonts w:ascii="Times New Roman" w:hAnsi="Times New Roman" w:cs="Times New Roman"/>
        </w:rPr>
        <w:t xml:space="preserve">-tainted wheat in Xinxiang, Henan Province, with the intention of using it for ethanol production and to make industrial starch used in paper mills and textile manufacturing.  At least ten hectares of land are contaminated by </w:t>
      </w:r>
      <w:r w:rsidRPr="00592B91">
        <w:rPr>
          <w:rFonts w:ascii="Times New Roman" w:hAnsi="Times New Roman" w:cs="Times New Roman"/>
          <w:b/>
        </w:rPr>
        <w:t>cadmium</w:t>
      </w:r>
      <w:r w:rsidRPr="00592B91">
        <w:rPr>
          <w:rFonts w:ascii="Times New Roman" w:hAnsi="Times New Roman" w:cs="Times New Roman"/>
        </w:rPr>
        <w:t xml:space="preserve">, yet </w:t>
      </w:r>
      <w:r w:rsidRPr="00592B91">
        <w:rPr>
          <w:rFonts w:ascii="Times New Roman" w:hAnsi="Times New Roman" w:cs="Times New Roman"/>
        </w:rPr>
        <w:lastRenderedPageBreak/>
        <w:t xml:space="preserve">farmers have continued to grow wheat on the land.  A local NGO has been tracking the contamination levels of wheat grown on the identified land, with results showing six to 34 times more </w:t>
      </w:r>
      <w:r w:rsidRPr="00592B91">
        <w:rPr>
          <w:rFonts w:ascii="Times New Roman" w:hAnsi="Times New Roman" w:cs="Times New Roman"/>
          <w:b/>
        </w:rPr>
        <w:t>cadmium</w:t>
      </w:r>
      <w:r w:rsidRPr="00592B91">
        <w:rPr>
          <w:rFonts w:ascii="Times New Roman" w:hAnsi="Times New Roman" w:cs="Times New Roman"/>
        </w:rPr>
        <w:t xml:space="preserve"> than allowed by national food safety standards.  The NGO </w:t>
      </w:r>
      <w:r w:rsidR="00361A5E" w:rsidRPr="00592B91">
        <w:rPr>
          <w:rFonts w:ascii="Times New Roman" w:hAnsi="Times New Roman" w:cs="Times New Roman"/>
        </w:rPr>
        <w:t>claims</w:t>
      </w:r>
      <w:r w:rsidRPr="00592B91">
        <w:rPr>
          <w:rFonts w:ascii="Times New Roman" w:hAnsi="Times New Roman" w:cs="Times New Roman"/>
        </w:rPr>
        <w:t xml:space="preserve"> that </w:t>
      </w:r>
      <w:r w:rsidR="00361A5E" w:rsidRPr="00592B91">
        <w:rPr>
          <w:rFonts w:ascii="Times New Roman" w:hAnsi="Times New Roman" w:cs="Times New Roman"/>
        </w:rPr>
        <w:t xml:space="preserve">part of </w:t>
      </w:r>
      <w:r w:rsidRPr="00592B91">
        <w:rPr>
          <w:rFonts w:ascii="Times New Roman" w:hAnsi="Times New Roman" w:cs="Times New Roman"/>
        </w:rPr>
        <w:t>the wheat could have reached the local market before authorities bought it up.</w:t>
      </w:r>
    </w:p>
    <w:p w:rsidR="0059290F" w:rsidRPr="00592B91" w:rsidRDefault="0059290F" w:rsidP="009408F2">
      <w:pPr>
        <w:pStyle w:val="NormalWeb"/>
        <w:widowControl w:val="0"/>
        <w:spacing w:before="0" w:beforeAutospacing="0" w:after="0" w:afterAutospacing="0"/>
        <w:jc w:val="both"/>
        <w:rPr>
          <w:rFonts w:ascii="Times New Roman" w:hAnsi="Times New Roman" w:cs="Times New Roman"/>
        </w:rPr>
      </w:pPr>
    </w:p>
    <w:p w:rsidR="00C86C76" w:rsidRPr="00592B91" w:rsidRDefault="005B6704" w:rsidP="009408F2">
      <w:pPr>
        <w:pStyle w:val="NormalWeb"/>
        <w:spacing w:before="0" w:beforeAutospacing="0" w:after="0" w:afterAutospacing="0"/>
        <w:jc w:val="center"/>
        <w:rPr>
          <w:rFonts w:ascii="Times New Roman" w:hAnsi="Times New Roman" w:cs="Times New Roman"/>
          <w:b/>
        </w:rPr>
      </w:pPr>
      <w:r w:rsidRPr="00592B91">
        <w:rPr>
          <w:rFonts w:ascii="Times New Roman" w:hAnsi="Times New Roman" w:cs="Times New Roman"/>
          <w:b/>
        </w:rPr>
        <w:t>HONG KONG</w:t>
      </w:r>
    </w:p>
    <w:p w:rsidR="00C86C76" w:rsidRPr="00592B91" w:rsidRDefault="00C86C76" w:rsidP="009408F2">
      <w:pPr>
        <w:pStyle w:val="NormalWeb"/>
        <w:spacing w:before="0" w:beforeAutospacing="0" w:after="0" w:afterAutospacing="0"/>
        <w:jc w:val="both"/>
        <w:rPr>
          <w:rFonts w:ascii="Times New Roman" w:hAnsi="Times New Roman" w:cs="Times New Roman"/>
        </w:rPr>
      </w:pPr>
    </w:p>
    <w:p w:rsidR="00F05581" w:rsidRPr="00592B91" w:rsidRDefault="00F05581" w:rsidP="009408F2">
      <w:pPr>
        <w:pStyle w:val="NormalWeb"/>
        <w:spacing w:before="0" w:beforeAutospacing="0" w:after="0" w:afterAutospacing="0"/>
        <w:jc w:val="both"/>
        <w:rPr>
          <w:rFonts w:ascii="Times New Roman" w:hAnsi="Times New Roman" w:cs="Times New Roman"/>
          <w:b/>
        </w:rPr>
      </w:pPr>
      <w:r w:rsidRPr="00592B91">
        <w:rPr>
          <w:rFonts w:ascii="Times New Roman" w:hAnsi="Times New Roman" w:cs="Times New Roman"/>
          <w:b/>
        </w:rPr>
        <w:t>Mushroom Samples Contain Excessive Cadmium</w:t>
      </w:r>
    </w:p>
    <w:p w:rsidR="00F05581" w:rsidRPr="00592B91" w:rsidRDefault="00F05581" w:rsidP="009408F2">
      <w:pPr>
        <w:pStyle w:val="NormalWeb"/>
        <w:spacing w:before="0" w:beforeAutospacing="0" w:after="0" w:afterAutospacing="0"/>
        <w:jc w:val="both"/>
        <w:rPr>
          <w:rFonts w:ascii="Times New Roman" w:hAnsi="Times New Roman" w:cs="Times New Roman"/>
        </w:rPr>
      </w:pPr>
    </w:p>
    <w:p w:rsidR="00F05581" w:rsidRPr="00592B91" w:rsidRDefault="00F05581" w:rsidP="009408F2">
      <w:pPr>
        <w:pStyle w:val="NormalWeb"/>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On July 29, 2016, CFS announced its June 2016 food safety report.  The results of about 10,100 food samples were found to be satisfactory except for 15 unsatisfactory samples.  The overall satisfactory rate was 99.9 percent.  According to CFS, about 800 food samples were collected for microbiological tests, some 3,700 samples were taken for chemical tests, and the remaining 5,600 (including about 5,300 taken from food imported from Japan) were collected to test radiation levels.  The samples </w:t>
      </w:r>
      <w:r w:rsidR="0053073B" w:rsidRPr="00592B91">
        <w:rPr>
          <w:rFonts w:ascii="Times New Roman" w:hAnsi="Times New Roman" w:cs="Times New Roman"/>
        </w:rPr>
        <w:t>included</w:t>
      </w:r>
      <w:r w:rsidRPr="00592B91">
        <w:rPr>
          <w:rFonts w:ascii="Times New Roman" w:hAnsi="Times New Roman" w:cs="Times New Roman"/>
        </w:rPr>
        <w:t xml:space="preserve"> about 3</w:t>
      </w:r>
      <w:r w:rsidR="0053073B" w:rsidRPr="00592B91">
        <w:rPr>
          <w:rFonts w:ascii="Times New Roman" w:hAnsi="Times New Roman" w:cs="Times New Roman"/>
        </w:rPr>
        <w:t>,</w:t>
      </w:r>
      <w:r w:rsidRPr="00592B91">
        <w:rPr>
          <w:rFonts w:ascii="Times New Roman" w:hAnsi="Times New Roman" w:cs="Times New Roman"/>
        </w:rPr>
        <w:t>300 samples of vegetables and fruit and their products; 500 samples of meat and poultry and their products; 1</w:t>
      </w:r>
      <w:r w:rsidR="0053073B" w:rsidRPr="00592B91">
        <w:rPr>
          <w:rFonts w:ascii="Times New Roman" w:hAnsi="Times New Roman" w:cs="Times New Roman"/>
        </w:rPr>
        <w:t>,</w:t>
      </w:r>
      <w:r w:rsidRPr="00592B91">
        <w:rPr>
          <w:rFonts w:ascii="Times New Roman" w:hAnsi="Times New Roman" w:cs="Times New Roman"/>
        </w:rPr>
        <w:t>400 samples of aquatic and related products; 500 samples of milk, milk products</w:t>
      </w:r>
      <w:r w:rsidR="0053073B" w:rsidRPr="00592B91">
        <w:rPr>
          <w:rFonts w:ascii="Times New Roman" w:hAnsi="Times New Roman" w:cs="Times New Roman"/>
        </w:rPr>
        <w:t>,</w:t>
      </w:r>
      <w:r w:rsidRPr="00592B91">
        <w:rPr>
          <w:rFonts w:ascii="Times New Roman" w:hAnsi="Times New Roman" w:cs="Times New Roman"/>
        </w:rPr>
        <w:t xml:space="preserve"> and frozen confections; 600 samples of cereals, grains</w:t>
      </w:r>
      <w:r w:rsidR="0053073B" w:rsidRPr="00592B91">
        <w:rPr>
          <w:rFonts w:ascii="Times New Roman" w:hAnsi="Times New Roman" w:cs="Times New Roman"/>
        </w:rPr>
        <w:t>,</w:t>
      </w:r>
      <w:r w:rsidRPr="00592B91">
        <w:rPr>
          <w:rFonts w:ascii="Times New Roman" w:hAnsi="Times New Roman" w:cs="Times New Roman"/>
        </w:rPr>
        <w:t xml:space="preserve"> and their products; and 3</w:t>
      </w:r>
      <w:r w:rsidR="0053073B" w:rsidRPr="00592B91">
        <w:rPr>
          <w:rFonts w:ascii="Times New Roman" w:hAnsi="Times New Roman" w:cs="Times New Roman"/>
        </w:rPr>
        <w:t>,</w:t>
      </w:r>
      <w:r w:rsidRPr="00592B91">
        <w:rPr>
          <w:rFonts w:ascii="Times New Roman" w:hAnsi="Times New Roman" w:cs="Times New Roman"/>
        </w:rPr>
        <w:t>800 samples of other food commodities (including beverages, bakery products</w:t>
      </w:r>
      <w:r w:rsidR="0053073B" w:rsidRPr="00592B91">
        <w:rPr>
          <w:rFonts w:ascii="Times New Roman" w:hAnsi="Times New Roman" w:cs="Times New Roman"/>
        </w:rPr>
        <w:t>,</w:t>
      </w:r>
      <w:r w:rsidRPr="00592B91">
        <w:rPr>
          <w:rFonts w:ascii="Times New Roman" w:hAnsi="Times New Roman" w:cs="Times New Roman"/>
        </w:rPr>
        <w:t xml:space="preserve"> and snacks).</w:t>
      </w:r>
      <w:r w:rsidR="0053073B" w:rsidRPr="00592B91">
        <w:rPr>
          <w:rFonts w:ascii="Times New Roman" w:hAnsi="Times New Roman" w:cs="Times New Roman"/>
        </w:rPr>
        <w:t xml:space="preserve">  </w:t>
      </w:r>
      <w:r w:rsidRPr="00592B91">
        <w:rPr>
          <w:rFonts w:ascii="Times New Roman" w:hAnsi="Times New Roman" w:cs="Times New Roman"/>
        </w:rPr>
        <w:t xml:space="preserve">The unsatisfactory samples </w:t>
      </w:r>
      <w:r w:rsidR="0053073B" w:rsidRPr="00592B91">
        <w:rPr>
          <w:rFonts w:ascii="Times New Roman" w:hAnsi="Times New Roman" w:cs="Times New Roman"/>
        </w:rPr>
        <w:t>included</w:t>
      </w:r>
      <w:r w:rsidRPr="00592B91">
        <w:rPr>
          <w:rFonts w:ascii="Times New Roman" w:hAnsi="Times New Roman" w:cs="Times New Roman"/>
        </w:rPr>
        <w:t xml:space="preserve"> five edible mushroom samples detected with </w:t>
      </w:r>
      <w:r w:rsidRPr="00592B91">
        <w:rPr>
          <w:rFonts w:ascii="Times New Roman" w:hAnsi="Times New Roman" w:cs="Times New Roman"/>
          <w:b/>
        </w:rPr>
        <w:t>cadmium</w:t>
      </w:r>
      <w:r w:rsidRPr="00592B91">
        <w:rPr>
          <w:rFonts w:ascii="Times New Roman" w:hAnsi="Times New Roman" w:cs="Times New Roman"/>
        </w:rPr>
        <w:t xml:space="preserve"> at levels exceeding the legal limit.</w:t>
      </w:r>
    </w:p>
    <w:p w:rsidR="00F05581" w:rsidRPr="00592B91" w:rsidRDefault="00F05581" w:rsidP="009408F2">
      <w:pPr>
        <w:pStyle w:val="NormalWeb"/>
        <w:spacing w:before="0" w:beforeAutospacing="0" w:after="0" w:afterAutospacing="0"/>
        <w:jc w:val="both"/>
        <w:rPr>
          <w:rFonts w:ascii="Times New Roman" w:hAnsi="Times New Roman" w:cs="Times New Roman"/>
        </w:rPr>
      </w:pPr>
    </w:p>
    <w:p w:rsidR="008E7564" w:rsidRPr="00592B91" w:rsidRDefault="008E7564" w:rsidP="009408F2">
      <w:pPr>
        <w:pStyle w:val="NormalWeb"/>
        <w:spacing w:before="0" w:beforeAutospacing="0" w:after="0" w:afterAutospacing="0"/>
        <w:jc w:val="both"/>
        <w:rPr>
          <w:rFonts w:ascii="Times New Roman" w:hAnsi="Times New Roman" w:cs="Times New Roman"/>
          <w:b/>
        </w:rPr>
      </w:pPr>
      <w:r w:rsidRPr="00592B91">
        <w:rPr>
          <w:rFonts w:ascii="Times New Roman" w:hAnsi="Times New Roman" w:cs="Times New Roman"/>
          <w:b/>
        </w:rPr>
        <w:t>Excessive Cadmium Found In Black Rice Imported From Thailand</w:t>
      </w:r>
    </w:p>
    <w:p w:rsidR="008E7564" w:rsidRPr="00592B91" w:rsidRDefault="008E7564" w:rsidP="009408F2">
      <w:pPr>
        <w:pStyle w:val="NormalWeb"/>
        <w:spacing w:before="0" w:beforeAutospacing="0" w:after="0" w:afterAutospacing="0"/>
        <w:jc w:val="both"/>
        <w:rPr>
          <w:rFonts w:ascii="Times New Roman" w:hAnsi="Times New Roman" w:cs="Times New Roman"/>
        </w:rPr>
      </w:pPr>
    </w:p>
    <w:p w:rsidR="00C86C76" w:rsidRPr="00592B91" w:rsidRDefault="00C000E9" w:rsidP="009408F2">
      <w:pPr>
        <w:pStyle w:val="NormalWeb"/>
        <w:widowControl w:val="0"/>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CFS announced on August 9, 2016, that excessive </w:t>
      </w:r>
      <w:r w:rsidRPr="00592B91">
        <w:rPr>
          <w:rFonts w:ascii="Times New Roman" w:hAnsi="Times New Roman" w:cs="Times New Roman"/>
          <w:b/>
        </w:rPr>
        <w:t>cadmium</w:t>
      </w:r>
      <w:r w:rsidRPr="00592B91">
        <w:rPr>
          <w:rFonts w:ascii="Times New Roman" w:hAnsi="Times New Roman" w:cs="Times New Roman"/>
        </w:rPr>
        <w:t xml:space="preserve"> was detected in a sample of pre-packaged black rice imported from Thailand.  The sample contained 0.16 ppm </w:t>
      </w:r>
      <w:r w:rsidRPr="00592B91">
        <w:rPr>
          <w:rFonts w:ascii="Times New Roman" w:hAnsi="Times New Roman" w:cs="Times New Roman"/>
          <w:b/>
        </w:rPr>
        <w:t>cadmium</w:t>
      </w:r>
      <w:r w:rsidRPr="00592B91">
        <w:rPr>
          <w:rFonts w:ascii="Times New Roman" w:hAnsi="Times New Roman" w:cs="Times New Roman"/>
        </w:rPr>
        <w:t xml:space="preserve">, exceeding the limit of 0.1 ppm </w:t>
      </w:r>
      <w:r w:rsidRPr="00592B91">
        <w:rPr>
          <w:rFonts w:ascii="Times New Roman" w:hAnsi="Times New Roman" w:cs="Times New Roman"/>
          <w:b/>
        </w:rPr>
        <w:t>cadmium</w:t>
      </w:r>
      <w:r w:rsidRPr="00592B91">
        <w:rPr>
          <w:rFonts w:ascii="Times New Roman" w:hAnsi="Times New Roman" w:cs="Times New Roman"/>
        </w:rPr>
        <w:t xml:space="preserve">.  </w:t>
      </w:r>
      <w:r w:rsidR="008E7564" w:rsidRPr="00592B91">
        <w:rPr>
          <w:rFonts w:ascii="Times New Roman" w:hAnsi="Times New Roman" w:cs="Times New Roman"/>
        </w:rPr>
        <w:t xml:space="preserve">A CFS spokesperson stated:  “Based on the level of </w:t>
      </w:r>
      <w:r w:rsidR="008E7564" w:rsidRPr="00592B91">
        <w:rPr>
          <w:rFonts w:ascii="Times New Roman" w:hAnsi="Times New Roman" w:cs="Times New Roman"/>
          <w:b/>
        </w:rPr>
        <w:t>cadmium</w:t>
      </w:r>
      <w:r w:rsidR="008E7564" w:rsidRPr="00592B91">
        <w:rPr>
          <w:rFonts w:ascii="Times New Roman" w:hAnsi="Times New Roman" w:cs="Times New Roman"/>
        </w:rPr>
        <w:t xml:space="preserve"> detected in the sample, adverse health effects will not be caused by usual consumption.”  </w:t>
      </w:r>
      <w:r w:rsidRPr="00592B91">
        <w:rPr>
          <w:rFonts w:ascii="Times New Roman" w:hAnsi="Times New Roman" w:cs="Times New Roman"/>
        </w:rPr>
        <w:t>CFS called for the trade to stop using or selling the affected batch of the product immediately.</w:t>
      </w:r>
    </w:p>
    <w:p w:rsidR="00C000E9" w:rsidRPr="00592B91" w:rsidRDefault="00C000E9" w:rsidP="009408F2">
      <w:pPr>
        <w:pStyle w:val="NormalWeb"/>
        <w:widowControl w:val="0"/>
        <w:spacing w:before="0" w:beforeAutospacing="0" w:after="0" w:afterAutospacing="0"/>
        <w:jc w:val="both"/>
        <w:rPr>
          <w:rFonts w:ascii="Times New Roman" w:hAnsi="Times New Roman" w:cs="Times New Roman"/>
        </w:rPr>
      </w:pPr>
    </w:p>
    <w:p w:rsidR="00C86C76" w:rsidRPr="00592B91" w:rsidRDefault="005B6704" w:rsidP="009408F2">
      <w:pPr>
        <w:pStyle w:val="NormalWeb"/>
        <w:suppressAutoHyphens/>
        <w:spacing w:before="0" w:beforeAutospacing="0" w:after="0" w:afterAutospacing="0"/>
        <w:jc w:val="center"/>
        <w:rPr>
          <w:rFonts w:ascii="Times New Roman" w:hAnsi="Times New Roman" w:cs="Times New Roman"/>
          <w:b/>
          <w:lang w:eastAsia="zh-CN"/>
        </w:rPr>
      </w:pPr>
      <w:r w:rsidRPr="00592B91">
        <w:rPr>
          <w:rFonts w:ascii="Times New Roman" w:hAnsi="Times New Roman" w:cs="Times New Roman"/>
          <w:b/>
          <w:lang w:eastAsia="zh-CN"/>
        </w:rPr>
        <w:t>INDIA</w:t>
      </w:r>
    </w:p>
    <w:p w:rsidR="00C86C76" w:rsidRPr="00592B91" w:rsidRDefault="00C86C76" w:rsidP="009408F2">
      <w:pPr>
        <w:pStyle w:val="NormalWeb"/>
        <w:suppressAutoHyphens/>
        <w:spacing w:before="0" w:beforeAutospacing="0" w:after="0" w:afterAutospacing="0"/>
        <w:rPr>
          <w:rFonts w:ascii="Times New Roman" w:hAnsi="Times New Roman" w:cs="Times New Roman"/>
          <w:lang w:eastAsia="zh-CN"/>
        </w:rPr>
      </w:pPr>
    </w:p>
    <w:p w:rsidR="00F70C53" w:rsidRPr="00592B91" w:rsidRDefault="00F70C53" w:rsidP="009408F2">
      <w:pPr>
        <w:pStyle w:val="NormalWeb"/>
        <w:suppressAutoHyphens/>
        <w:spacing w:before="0" w:beforeAutospacing="0" w:after="0" w:afterAutospacing="0"/>
        <w:rPr>
          <w:rFonts w:ascii="Times New Roman" w:hAnsi="Times New Roman" w:cs="Times New Roman"/>
          <w:b/>
          <w:lang w:eastAsia="zh-CN"/>
        </w:rPr>
      </w:pPr>
      <w:r w:rsidRPr="00592B91">
        <w:rPr>
          <w:rFonts w:ascii="Times New Roman" w:hAnsi="Times New Roman" w:cs="Times New Roman"/>
          <w:b/>
          <w:lang w:eastAsia="zh-CN"/>
        </w:rPr>
        <w:t xml:space="preserve">Cabinet Approves Extension </w:t>
      </w:r>
      <w:proofErr w:type="gramStart"/>
      <w:r w:rsidRPr="00592B91">
        <w:rPr>
          <w:rFonts w:ascii="Times New Roman" w:hAnsi="Times New Roman" w:cs="Times New Roman"/>
          <w:b/>
          <w:lang w:eastAsia="zh-CN"/>
        </w:rPr>
        <w:t>Of</w:t>
      </w:r>
      <w:proofErr w:type="gramEnd"/>
      <w:r w:rsidRPr="00592B91">
        <w:rPr>
          <w:rFonts w:ascii="Times New Roman" w:hAnsi="Times New Roman" w:cs="Times New Roman"/>
          <w:b/>
          <w:lang w:eastAsia="zh-CN"/>
        </w:rPr>
        <w:t xml:space="preserve"> Contract For Exploration Of Polymetallic Nodules</w:t>
      </w:r>
    </w:p>
    <w:p w:rsidR="00F70C53" w:rsidRPr="00592B91" w:rsidRDefault="00F70C53" w:rsidP="009408F2">
      <w:pPr>
        <w:pStyle w:val="NormalWeb"/>
        <w:suppressAutoHyphens/>
        <w:spacing w:before="0" w:beforeAutospacing="0" w:after="0" w:afterAutospacing="0"/>
        <w:rPr>
          <w:rFonts w:ascii="Times New Roman" w:hAnsi="Times New Roman" w:cs="Times New Roman"/>
          <w:lang w:eastAsia="zh-CN"/>
        </w:rPr>
      </w:pPr>
    </w:p>
    <w:p w:rsidR="00C86C76" w:rsidRPr="00592B91" w:rsidRDefault="00F70C53" w:rsidP="009408F2">
      <w:pPr>
        <w:pStyle w:val="NormalWeb"/>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On September 12, 2016, the Union Cabinet </w:t>
      </w:r>
      <w:hyperlink r:id="rId32" w:history="1">
        <w:r w:rsidRPr="00592B91">
          <w:rPr>
            <w:rStyle w:val="Hyperlink"/>
            <w:rFonts w:cs="Times New Roman"/>
          </w:rPr>
          <w:t>announced</w:t>
        </w:r>
      </w:hyperlink>
      <w:r w:rsidRPr="00592B91">
        <w:rPr>
          <w:rFonts w:ascii="Times New Roman" w:hAnsi="Times New Roman" w:cs="Times New Roman"/>
        </w:rPr>
        <w:t xml:space="preserve"> it approved the contract extension between the Ministry of Earth Sciences, the government of India, and ISA for exploration of </w:t>
      </w:r>
      <w:r w:rsidR="007953E5" w:rsidRPr="00592B91">
        <w:rPr>
          <w:rFonts w:ascii="Times New Roman" w:hAnsi="Times New Roman" w:cs="Times New Roman"/>
        </w:rPr>
        <w:t xml:space="preserve">polymetallic nodules </w:t>
      </w:r>
      <w:r w:rsidRPr="00592B91">
        <w:rPr>
          <w:rFonts w:ascii="Times New Roman" w:hAnsi="Times New Roman" w:cs="Times New Roman"/>
        </w:rPr>
        <w:t xml:space="preserve">for a further period of </w:t>
      </w:r>
      <w:r w:rsidR="007953E5" w:rsidRPr="00592B91">
        <w:rPr>
          <w:rFonts w:ascii="Times New Roman" w:hAnsi="Times New Roman" w:cs="Times New Roman"/>
        </w:rPr>
        <w:t>five</w:t>
      </w:r>
      <w:r w:rsidRPr="00592B91">
        <w:rPr>
          <w:rFonts w:ascii="Times New Roman" w:hAnsi="Times New Roman" w:cs="Times New Roman"/>
        </w:rPr>
        <w:t xml:space="preserve"> years (</w:t>
      </w:r>
      <w:r w:rsidRPr="00592B91">
        <w:rPr>
          <w:rFonts w:ascii="Times New Roman" w:hAnsi="Times New Roman" w:cs="Times New Roman"/>
          <w:b/>
        </w:rPr>
        <w:t>2017-22</w:t>
      </w:r>
      <w:r w:rsidRPr="00592B91">
        <w:rPr>
          <w:rFonts w:ascii="Times New Roman" w:hAnsi="Times New Roman" w:cs="Times New Roman"/>
        </w:rPr>
        <w:t xml:space="preserve">). </w:t>
      </w:r>
      <w:r w:rsidR="007953E5" w:rsidRPr="00592B91">
        <w:rPr>
          <w:rFonts w:ascii="Times New Roman" w:hAnsi="Times New Roman" w:cs="Times New Roman"/>
        </w:rPr>
        <w:t xml:space="preserve"> According to the Cabinet, b</w:t>
      </w:r>
      <w:r w:rsidRPr="00592B91">
        <w:rPr>
          <w:rFonts w:ascii="Times New Roman" w:hAnsi="Times New Roman" w:cs="Times New Roman"/>
        </w:rPr>
        <w:t>y extending the contract, India</w:t>
      </w:r>
      <w:r w:rsidR="007953E5" w:rsidRPr="00592B91">
        <w:rPr>
          <w:rFonts w:ascii="Times New Roman" w:hAnsi="Times New Roman" w:cs="Times New Roman"/>
        </w:rPr>
        <w:t>’</w:t>
      </w:r>
      <w:r w:rsidRPr="00592B91">
        <w:rPr>
          <w:rFonts w:ascii="Times New Roman" w:hAnsi="Times New Roman" w:cs="Times New Roman"/>
        </w:rPr>
        <w:t xml:space="preserve">s exclusive rights for exploration of </w:t>
      </w:r>
      <w:r w:rsidR="007953E5" w:rsidRPr="00592B91">
        <w:rPr>
          <w:rFonts w:ascii="Times New Roman" w:hAnsi="Times New Roman" w:cs="Times New Roman"/>
        </w:rPr>
        <w:t xml:space="preserve">polymetallic nodules in the allotted area in </w:t>
      </w:r>
      <w:r w:rsidRPr="00592B91">
        <w:rPr>
          <w:rFonts w:ascii="Times New Roman" w:hAnsi="Times New Roman" w:cs="Times New Roman"/>
        </w:rPr>
        <w:t xml:space="preserve">the Central Indian Ocean Basin will continue and would open up new opportunities for resources of commercial and strategic value in </w:t>
      </w:r>
      <w:r w:rsidR="007953E5" w:rsidRPr="00592B91">
        <w:rPr>
          <w:rFonts w:ascii="Times New Roman" w:hAnsi="Times New Roman" w:cs="Times New Roman"/>
        </w:rPr>
        <w:t xml:space="preserve">an </w:t>
      </w:r>
      <w:r w:rsidRPr="00592B91">
        <w:rPr>
          <w:rFonts w:ascii="Times New Roman" w:hAnsi="Times New Roman" w:cs="Times New Roman"/>
        </w:rPr>
        <w:t xml:space="preserve">area beyond national jurisdiction. </w:t>
      </w:r>
      <w:r w:rsidR="007953E5" w:rsidRPr="00592B91">
        <w:rPr>
          <w:rFonts w:ascii="Times New Roman" w:hAnsi="Times New Roman" w:cs="Times New Roman"/>
        </w:rPr>
        <w:t xml:space="preserve"> </w:t>
      </w:r>
      <w:r w:rsidRPr="00592B91">
        <w:rPr>
          <w:rFonts w:ascii="Times New Roman" w:hAnsi="Times New Roman" w:cs="Times New Roman"/>
        </w:rPr>
        <w:t xml:space="preserve">Further, it would provide strategic importance for India in terms of enhanced presence in </w:t>
      </w:r>
      <w:r w:rsidR="00F53FBA" w:rsidRPr="00592B91">
        <w:rPr>
          <w:rFonts w:ascii="Times New Roman" w:hAnsi="Times New Roman" w:cs="Times New Roman"/>
        </w:rPr>
        <w:t xml:space="preserve">the </w:t>
      </w:r>
      <w:r w:rsidRPr="00592B91">
        <w:rPr>
          <w:rFonts w:ascii="Times New Roman" w:hAnsi="Times New Roman" w:cs="Times New Roman"/>
        </w:rPr>
        <w:t xml:space="preserve">Indian Ocean where other international players are also active. </w:t>
      </w:r>
      <w:r w:rsidR="007953E5" w:rsidRPr="00592B91">
        <w:rPr>
          <w:rFonts w:ascii="Times New Roman" w:hAnsi="Times New Roman" w:cs="Times New Roman"/>
        </w:rPr>
        <w:t xml:space="preserve"> The Cabinet states that p</w:t>
      </w:r>
      <w:r w:rsidRPr="00592B91">
        <w:rPr>
          <w:rFonts w:ascii="Times New Roman" w:hAnsi="Times New Roman" w:cs="Times New Roman"/>
        </w:rPr>
        <w:t xml:space="preserve">olymetallic nodules </w:t>
      </w:r>
      <w:r w:rsidR="007953E5" w:rsidRPr="00592B91">
        <w:rPr>
          <w:rFonts w:ascii="Times New Roman" w:hAnsi="Times New Roman" w:cs="Times New Roman"/>
        </w:rPr>
        <w:t xml:space="preserve">contain </w:t>
      </w:r>
      <w:r w:rsidRPr="00592B91">
        <w:rPr>
          <w:rFonts w:ascii="Times New Roman" w:hAnsi="Times New Roman" w:cs="Times New Roman"/>
        </w:rPr>
        <w:t>manganese</w:t>
      </w:r>
      <w:r w:rsidR="007953E5" w:rsidRPr="00592B91">
        <w:rPr>
          <w:rFonts w:ascii="Times New Roman" w:hAnsi="Times New Roman" w:cs="Times New Roman"/>
        </w:rPr>
        <w:t xml:space="preserve">, </w:t>
      </w:r>
      <w:r w:rsidRPr="00592B91">
        <w:rPr>
          <w:rFonts w:ascii="Times New Roman" w:hAnsi="Times New Roman" w:cs="Times New Roman"/>
        </w:rPr>
        <w:t xml:space="preserve">iron, nickel, copper, cobalt, lead, </w:t>
      </w:r>
      <w:r w:rsidRPr="00592B91">
        <w:rPr>
          <w:rFonts w:ascii="Times New Roman" w:hAnsi="Times New Roman" w:cs="Times New Roman"/>
        </w:rPr>
        <w:lastRenderedPageBreak/>
        <w:t xml:space="preserve">molybdenum, </w:t>
      </w:r>
      <w:r w:rsidRPr="00592B91">
        <w:rPr>
          <w:rFonts w:ascii="Times New Roman" w:hAnsi="Times New Roman" w:cs="Times New Roman"/>
          <w:b/>
        </w:rPr>
        <w:t>cadmium</w:t>
      </w:r>
      <w:r w:rsidRPr="00592B91">
        <w:rPr>
          <w:rFonts w:ascii="Times New Roman" w:hAnsi="Times New Roman" w:cs="Times New Roman"/>
        </w:rPr>
        <w:t>, vanadium, titanium, of which nickel, cobalt</w:t>
      </w:r>
      <w:r w:rsidR="00F53FBA" w:rsidRPr="00592B91">
        <w:rPr>
          <w:rFonts w:ascii="Times New Roman" w:hAnsi="Times New Roman" w:cs="Times New Roman"/>
        </w:rPr>
        <w:t>,</w:t>
      </w:r>
      <w:r w:rsidRPr="00592B91">
        <w:rPr>
          <w:rFonts w:ascii="Times New Roman" w:hAnsi="Times New Roman" w:cs="Times New Roman"/>
        </w:rPr>
        <w:t xml:space="preserve"> and copper are considered to be of eco</w:t>
      </w:r>
      <w:r w:rsidR="007953E5" w:rsidRPr="00592B91">
        <w:rPr>
          <w:rFonts w:ascii="Times New Roman" w:hAnsi="Times New Roman" w:cs="Times New Roman"/>
        </w:rPr>
        <w:t>nomic and strategic importance.</w:t>
      </w:r>
    </w:p>
    <w:p w:rsidR="00F70C53" w:rsidRPr="00592B91" w:rsidRDefault="00F70C53" w:rsidP="009408F2">
      <w:pPr>
        <w:pStyle w:val="NormalWeb"/>
        <w:spacing w:before="0" w:beforeAutospacing="0" w:after="0" w:afterAutospacing="0"/>
        <w:rPr>
          <w:rFonts w:ascii="Times New Roman" w:hAnsi="Times New Roman" w:cs="Times New Roman"/>
        </w:rPr>
      </w:pPr>
    </w:p>
    <w:p w:rsidR="00060E47" w:rsidRPr="00592B91" w:rsidRDefault="00060E47" w:rsidP="009408F2">
      <w:pPr>
        <w:jc w:val="center"/>
        <w:rPr>
          <w:b/>
        </w:rPr>
      </w:pPr>
      <w:r w:rsidRPr="00592B91">
        <w:rPr>
          <w:b/>
        </w:rPr>
        <w:t>PHILIPPINES</w:t>
      </w:r>
    </w:p>
    <w:p w:rsidR="00060E47" w:rsidRPr="00592B91" w:rsidRDefault="00060E47" w:rsidP="009408F2"/>
    <w:p w:rsidR="00060E47" w:rsidRPr="00592B91" w:rsidRDefault="00060E47" w:rsidP="009408F2">
      <w:pPr>
        <w:rPr>
          <w:b/>
        </w:rPr>
      </w:pPr>
      <w:r w:rsidRPr="00FF29FC">
        <w:rPr>
          <w:b/>
          <w:highlight w:val="yellow"/>
        </w:rPr>
        <w:t xml:space="preserve">NGO Urges Regulation Restricting </w:t>
      </w:r>
      <w:proofErr w:type="gramStart"/>
      <w:r w:rsidRPr="00FF29FC">
        <w:rPr>
          <w:b/>
          <w:highlight w:val="yellow"/>
        </w:rPr>
        <w:t>The</w:t>
      </w:r>
      <w:proofErr w:type="gramEnd"/>
      <w:r w:rsidRPr="00FF29FC">
        <w:rPr>
          <w:b/>
          <w:highlight w:val="yellow"/>
        </w:rPr>
        <w:t xml:space="preserve"> Content Of Hazardous Substances, Including Cadmium, In Jewelry</w:t>
      </w:r>
    </w:p>
    <w:p w:rsidR="00060E47" w:rsidRPr="00592B91" w:rsidRDefault="00060E47" w:rsidP="009408F2"/>
    <w:p w:rsidR="00060E47" w:rsidRPr="00592B91" w:rsidRDefault="00060E47" w:rsidP="009408F2">
      <w:r w:rsidRPr="00592B91">
        <w:t xml:space="preserve">In a September 12, 2016, </w:t>
      </w:r>
      <w:hyperlink r:id="rId33" w:history="1">
        <w:r w:rsidRPr="00592B91">
          <w:rPr>
            <w:rStyle w:val="Hyperlink"/>
          </w:rPr>
          <w:t>blog post</w:t>
        </w:r>
      </w:hyperlink>
      <w:r w:rsidRPr="00592B91">
        <w:t xml:space="preserve">, the </w:t>
      </w:r>
      <w:proofErr w:type="spellStart"/>
      <w:r w:rsidRPr="00592B91">
        <w:t>EcoWaste</w:t>
      </w:r>
      <w:proofErr w:type="spellEnd"/>
      <w:r w:rsidRPr="00592B91">
        <w:t xml:space="preserve"> Coalition urged the government, the jewelry industry, and the civil society to develop a regulation that will restrict the content of hazardous substances in jewelry.  The </w:t>
      </w:r>
      <w:proofErr w:type="spellStart"/>
      <w:r w:rsidRPr="00592B91">
        <w:t>EcoWaste</w:t>
      </w:r>
      <w:proofErr w:type="spellEnd"/>
      <w:r w:rsidRPr="00592B91">
        <w:t xml:space="preserve"> Coalition recommended the regulation after detecting high concentrations of </w:t>
      </w:r>
      <w:r w:rsidRPr="00592B91">
        <w:rPr>
          <w:b/>
        </w:rPr>
        <w:t>cadmium</w:t>
      </w:r>
      <w:r w:rsidRPr="00592B91">
        <w:t xml:space="preserve"> and lead in cheap earrings, bracelets, necklaces, rings. </w:t>
      </w:r>
      <w:proofErr w:type="gramStart"/>
      <w:r w:rsidRPr="00592B91">
        <w:t>and</w:t>
      </w:r>
      <w:proofErr w:type="gramEnd"/>
      <w:r w:rsidRPr="00592B91">
        <w:t xml:space="preserve"> rosaries bought from retailers in </w:t>
      </w:r>
      <w:proofErr w:type="spellStart"/>
      <w:r w:rsidRPr="00592B91">
        <w:t>Divisoria</w:t>
      </w:r>
      <w:proofErr w:type="spellEnd"/>
      <w:r w:rsidRPr="00592B91">
        <w:t xml:space="preserve">, </w:t>
      </w:r>
      <w:proofErr w:type="spellStart"/>
      <w:r w:rsidRPr="00592B91">
        <w:t>Quiapo</w:t>
      </w:r>
      <w:proofErr w:type="spellEnd"/>
      <w:r w:rsidRPr="00592B91">
        <w:t xml:space="preserve">, and Santa. Cruz, Manila.  </w:t>
      </w:r>
      <w:proofErr w:type="spellStart"/>
      <w:r w:rsidRPr="00592B91">
        <w:t>EcoWaste</w:t>
      </w:r>
      <w:proofErr w:type="spellEnd"/>
      <w:r w:rsidRPr="00592B91">
        <w:t xml:space="preserve"> Coalition conducted its latest product screening following the market withdrawal of some jewelry items in France, Germany, Latvia, and Sweden that contain levels of </w:t>
      </w:r>
      <w:r w:rsidRPr="00592B91">
        <w:rPr>
          <w:b/>
        </w:rPr>
        <w:t>cadmium</w:t>
      </w:r>
      <w:r w:rsidRPr="00592B91">
        <w:t>, lead, mercury, or nickel in violation of national and EU regulations as reported in RAPEX.</w:t>
      </w:r>
    </w:p>
    <w:p w:rsidR="00C86C76" w:rsidRPr="00592B91" w:rsidRDefault="00C86C76" w:rsidP="009408F2"/>
    <w:p w:rsidR="00493C0A" w:rsidRPr="00592B91" w:rsidRDefault="00493C0A" w:rsidP="009408F2">
      <w:pPr>
        <w:pStyle w:val="NormalWeb"/>
        <w:widowControl w:val="0"/>
        <w:spacing w:before="0" w:beforeAutospacing="0" w:after="0" w:afterAutospacing="0"/>
        <w:jc w:val="center"/>
        <w:rPr>
          <w:rFonts w:ascii="Times New Roman" w:hAnsi="Times New Roman" w:cs="Times New Roman"/>
          <w:b/>
        </w:rPr>
      </w:pPr>
      <w:r w:rsidRPr="00592B91">
        <w:rPr>
          <w:rFonts w:ascii="Times New Roman" w:hAnsi="Times New Roman" w:cs="Times New Roman"/>
          <w:b/>
        </w:rPr>
        <w:t>SINGAPORE</w:t>
      </w:r>
    </w:p>
    <w:p w:rsidR="00493C0A" w:rsidRPr="00592B91" w:rsidRDefault="00493C0A" w:rsidP="009408F2">
      <w:pPr>
        <w:pStyle w:val="NormalWeb"/>
        <w:widowControl w:val="0"/>
        <w:spacing w:before="0" w:beforeAutospacing="0" w:after="0" w:afterAutospacing="0"/>
        <w:jc w:val="both"/>
        <w:rPr>
          <w:rFonts w:ascii="Times New Roman" w:hAnsi="Times New Roman" w:cs="Times New Roman"/>
        </w:rPr>
      </w:pPr>
    </w:p>
    <w:p w:rsidR="00493C0A" w:rsidRPr="00592B91" w:rsidRDefault="00493C0A" w:rsidP="009408F2">
      <w:pPr>
        <w:pStyle w:val="NormalWeb"/>
        <w:widowControl w:val="0"/>
        <w:spacing w:before="0" w:beforeAutospacing="0" w:after="0" w:afterAutospacing="0"/>
        <w:jc w:val="both"/>
        <w:rPr>
          <w:rFonts w:ascii="Times New Roman" w:hAnsi="Times New Roman" w:cs="Times New Roman"/>
          <w:b/>
        </w:rPr>
      </w:pPr>
      <w:r w:rsidRPr="00E17288">
        <w:rPr>
          <w:rFonts w:ascii="Times New Roman" w:hAnsi="Times New Roman" w:cs="Times New Roman"/>
          <w:b/>
          <w:highlight w:val="yellow"/>
        </w:rPr>
        <w:t>RoHS Regulation Will Take Effect June 1, 2017</w:t>
      </w:r>
    </w:p>
    <w:p w:rsidR="00493C0A" w:rsidRPr="00592B91" w:rsidRDefault="00493C0A" w:rsidP="009408F2">
      <w:pPr>
        <w:pStyle w:val="NormalWeb"/>
        <w:widowControl w:val="0"/>
        <w:spacing w:before="0" w:beforeAutospacing="0" w:after="0" w:afterAutospacing="0"/>
        <w:jc w:val="both"/>
        <w:rPr>
          <w:rFonts w:ascii="Times New Roman" w:hAnsi="Times New Roman" w:cs="Times New Roman"/>
        </w:rPr>
      </w:pPr>
    </w:p>
    <w:p w:rsidR="00493C0A" w:rsidRPr="00592B91" w:rsidRDefault="00493C0A" w:rsidP="009408F2">
      <w:pPr>
        <w:pStyle w:val="NormalWeb"/>
        <w:widowControl w:val="0"/>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MEWR promulgated a RoHS-like regulation that will take effect </w:t>
      </w:r>
      <w:r w:rsidR="008F2C7D" w:rsidRPr="00592B91">
        <w:rPr>
          <w:rFonts w:ascii="Times New Roman" w:hAnsi="Times New Roman" w:cs="Times New Roman"/>
          <w:b/>
        </w:rPr>
        <w:t>June 1, 2017</w:t>
      </w:r>
      <w:r w:rsidR="008F2C7D" w:rsidRPr="00592B91">
        <w:rPr>
          <w:rFonts w:ascii="Times New Roman" w:hAnsi="Times New Roman" w:cs="Times New Roman"/>
        </w:rPr>
        <w:t xml:space="preserve">.  The regulation prohibits the use of the following substances in </w:t>
      </w:r>
      <w:r w:rsidR="000C60FB" w:rsidRPr="00592B91">
        <w:rPr>
          <w:rFonts w:ascii="Times New Roman" w:hAnsi="Times New Roman" w:cs="Times New Roman"/>
        </w:rPr>
        <w:t>electrical and electronic</w:t>
      </w:r>
      <w:r w:rsidR="008F2C7D" w:rsidRPr="00592B91">
        <w:rPr>
          <w:rFonts w:ascii="Times New Roman" w:hAnsi="Times New Roman" w:cs="Times New Roman"/>
        </w:rPr>
        <w:t xml:space="preserve"> products:</w:t>
      </w:r>
    </w:p>
    <w:p w:rsidR="008F2C7D" w:rsidRPr="00592B91" w:rsidRDefault="008F2C7D" w:rsidP="009408F2">
      <w:pPr>
        <w:pStyle w:val="NormalWeb"/>
        <w:widowControl w:val="0"/>
        <w:spacing w:before="0" w:beforeAutospacing="0" w:after="0" w:afterAutospacing="0"/>
        <w:jc w:val="both"/>
        <w:rPr>
          <w:rFonts w:ascii="Times New Roman" w:hAnsi="Times New Roman" w:cs="Times New Roman"/>
        </w:rPr>
      </w:pPr>
    </w:p>
    <w:p w:rsidR="008F2C7D" w:rsidRPr="00592B91" w:rsidRDefault="008F2C7D" w:rsidP="009408F2">
      <w:pPr>
        <w:pStyle w:val="NormalWeb"/>
        <w:numPr>
          <w:ilvl w:val="0"/>
          <w:numId w:val="19"/>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b/>
        </w:rPr>
        <w:t>Cadmium</w:t>
      </w:r>
      <w:r w:rsidRPr="00592B91">
        <w:rPr>
          <w:rFonts w:ascii="Times New Roman" w:hAnsi="Times New Roman" w:cs="Times New Roman"/>
        </w:rPr>
        <w:t xml:space="preserve"> and </w:t>
      </w:r>
      <w:r w:rsidRPr="00592B91">
        <w:rPr>
          <w:rFonts w:ascii="Times New Roman" w:hAnsi="Times New Roman" w:cs="Times New Roman"/>
          <w:b/>
        </w:rPr>
        <w:t>cadmium compounds</w:t>
      </w:r>
      <w:r w:rsidRPr="00592B91">
        <w:rPr>
          <w:rFonts w:ascii="Times New Roman" w:hAnsi="Times New Roman" w:cs="Times New Roman"/>
        </w:rPr>
        <w:t>;</w:t>
      </w:r>
    </w:p>
    <w:p w:rsidR="008F2C7D" w:rsidRPr="00592B91" w:rsidRDefault="008F2C7D" w:rsidP="009408F2">
      <w:pPr>
        <w:pStyle w:val="NormalWeb"/>
        <w:spacing w:before="0" w:beforeAutospacing="0" w:after="0" w:afterAutospacing="0"/>
        <w:ind w:left="1440" w:right="720" w:hanging="720"/>
        <w:rPr>
          <w:rFonts w:ascii="Times New Roman" w:hAnsi="Times New Roman" w:cs="Times New Roman"/>
        </w:rPr>
      </w:pPr>
    </w:p>
    <w:p w:rsidR="008F2C7D" w:rsidRPr="00592B91" w:rsidRDefault="008F2C7D" w:rsidP="009408F2">
      <w:pPr>
        <w:pStyle w:val="NormalWeb"/>
        <w:numPr>
          <w:ilvl w:val="0"/>
          <w:numId w:val="19"/>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Hexavalent chromium;</w:t>
      </w:r>
    </w:p>
    <w:p w:rsidR="008F2C7D" w:rsidRPr="00592B91" w:rsidRDefault="008F2C7D" w:rsidP="009408F2">
      <w:pPr>
        <w:pStyle w:val="NormalWeb"/>
        <w:spacing w:before="0" w:beforeAutospacing="0" w:after="0" w:afterAutospacing="0"/>
        <w:ind w:left="1440" w:right="720" w:hanging="720"/>
        <w:rPr>
          <w:rFonts w:ascii="Times New Roman" w:hAnsi="Times New Roman" w:cs="Times New Roman"/>
        </w:rPr>
      </w:pPr>
    </w:p>
    <w:p w:rsidR="008F2C7D" w:rsidRPr="00592B91" w:rsidRDefault="008F2C7D" w:rsidP="009408F2">
      <w:pPr>
        <w:pStyle w:val="NormalWeb"/>
        <w:numPr>
          <w:ilvl w:val="0"/>
          <w:numId w:val="19"/>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Lead and lead compounds;</w:t>
      </w:r>
    </w:p>
    <w:p w:rsidR="008F2C7D" w:rsidRPr="00592B91" w:rsidRDefault="008F2C7D" w:rsidP="009408F2">
      <w:pPr>
        <w:pStyle w:val="NormalWeb"/>
        <w:spacing w:before="0" w:beforeAutospacing="0" w:after="0" w:afterAutospacing="0"/>
        <w:ind w:left="1440" w:right="720" w:hanging="720"/>
        <w:rPr>
          <w:rFonts w:ascii="Times New Roman" w:hAnsi="Times New Roman" w:cs="Times New Roman"/>
        </w:rPr>
      </w:pPr>
    </w:p>
    <w:p w:rsidR="008F2C7D" w:rsidRPr="00592B91" w:rsidRDefault="008F2C7D" w:rsidP="009408F2">
      <w:pPr>
        <w:pStyle w:val="NormalWeb"/>
        <w:numPr>
          <w:ilvl w:val="0"/>
          <w:numId w:val="19"/>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Mercury and mercury compounds;</w:t>
      </w:r>
    </w:p>
    <w:p w:rsidR="008F2C7D" w:rsidRPr="00592B91" w:rsidRDefault="008F2C7D" w:rsidP="009408F2">
      <w:pPr>
        <w:pStyle w:val="NormalWeb"/>
        <w:spacing w:before="0" w:beforeAutospacing="0" w:after="0" w:afterAutospacing="0"/>
        <w:ind w:left="1440" w:right="720" w:hanging="720"/>
        <w:rPr>
          <w:rFonts w:ascii="Times New Roman" w:hAnsi="Times New Roman" w:cs="Times New Roman"/>
        </w:rPr>
      </w:pPr>
    </w:p>
    <w:p w:rsidR="008F2C7D" w:rsidRPr="00592B91" w:rsidRDefault="008F2C7D" w:rsidP="009408F2">
      <w:pPr>
        <w:pStyle w:val="NormalWeb"/>
        <w:numPr>
          <w:ilvl w:val="0"/>
          <w:numId w:val="19"/>
        </w:numPr>
        <w:spacing w:before="0" w:beforeAutospacing="0" w:after="0" w:afterAutospacing="0"/>
        <w:ind w:left="1440" w:right="720" w:hanging="720"/>
        <w:rPr>
          <w:rFonts w:ascii="Times New Roman" w:hAnsi="Times New Roman" w:cs="Times New Roman"/>
        </w:rPr>
      </w:pPr>
      <w:proofErr w:type="spellStart"/>
      <w:r w:rsidRPr="00592B91">
        <w:rPr>
          <w:rFonts w:ascii="Times New Roman" w:hAnsi="Times New Roman" w:cs="Times New Roman"/>
        </w:rPr>
        <w:t>Polybrominated</w:t>
      </w:r>
      <w:proofErr w:type="spellEnd"/>
      <w:r w:rsidRPr="00592B91">
        <w:rPr>
          <w:rFonts w:ascii="Times New Roman" w:hAnsi="Times New Roman" w:cs="Times New Roman"/>
        </w:rPr>
        <w:t xml:space="preserve"> biphenyls; and</w:t>
      </w:r>
    </w:p>
    <w:p w:rsidR="008F2C7D" w:rsidRPr="00592B91" w:rsidRDefault="008F2C7D" w:rsidP="009408F2">
      <w:pPr>
        <w:pStyle w:val="NormalWeb"/>
        <w:widowControl w:val="0"/>
        <w:spacing w:before="0" w:beforeAutospacing="0" w:after="0" w:afterAutospacing="0"/>
        <w:ind w:left="1440" w:right="720" w:hanging="720"/>
        <w:jc w:val="both"/>
        <w:rPr>
          <w:rFonts w:ascii="Times New Roman" w:hAnsi="Times New Roman" w:cs="Times New Roman"/>
        </w:rPr>
      </w:pPr>
    </w:p>
    <w:p w:rsidR="008F2C7D" w:rsidRPr="00592B91" w:rsidRDefault="008F2C7D" w:rsidP="009408F2">
      <w:pPr>
        <w:pStyle w:val="NormalWeb"/>
        <w:widowControl w:val="0"/>
        <w:numPr>
          <w:ilvl w:val="0"/>
          <w:numId w:val="19"/>
        </w:numPr>
        <w:spacing w:before="0" w:beforeAutospacing="0" w:after="0" w:afterAutospacing="0"/>
        <w:ind w:left="1440" w:right="720" w:hanging="720"/>
        <w:jc w:val="both"/>
        <w:rPr>
          <w:rFonts w:ascii="Times New Roman" w:hAnsi="Times New Roman" w:cs="Times New Roman"/>
        </w:rPr>
      </w:pPr>
      <w:proofErr w:type="spellStart"/>
      <w:r w:rsidRPr="00592B91">
        <w:rPr>
          <w:rFonts w:ascii="Times New Roman" w:hAnsi="Times New Roman" w:cs="Times New Roman"/>
        </w:rPr>
        <w:t>Polybrominated</w:t>
      </w:r>
      <w:proofErr w:type="spellEnd"/>
      <w:r w:rsidRPr="00592B91">
        <w:rPr>
          <w:rFonts w:ascii="Times New Roman" w:hAnsi="Times New Roman" w:cs="Times New Roman"/>
        </w:rPr>
        <w:t xml:space="preserve"> diphenyl ethers.</w:t>
      </w:r>
    </w:p>
    <w:p w:rsidR="00493C0A" w:rsidRPr="00592B91" w:rsidRDefault="00493C0A" w:rsidP="009408F2">
      <w:pPr>
        <w:pStyle w:val="NormalWeb"/>
        <w:widowControl w:val="0"/>
        <w:spacing w:before="0" w:beforeAutospacing="0" w:after="0" w:afterAutospacing="0"/>
        <w:jc w:val="both"/>
        <w:rPr>
          <w:rFonts w:ascii="Times New Roman" w:hAnsi="Times New Roman" w:cs="Times New Roman"/>
        </w:rPr>
      </w:pPr>
    </w:p>
    <w:p w:rsidR="008F2C7D" w:rsidRPr="00592B91" w:rsidRDefault="008F2C7D" w:rsidP="009408F2">
      <w:pPr>
        <w:pStyle w:val="NormalWeb"/>
        <w:spacing w:before="0" w:beforeAutospacing="0" w:after="0" w:afterAutospacing="0"/>
        <w:jc w:val="both"/>
        <w:rPr>
          <w:rFonts w:ascii="Times New Roman" w:hAnsi="Times New Roman" w:cs="Times New Roman"/>
        </w:rPr>
      </w:pPr>
      <w:r w:rsidRPr="00592B91">
        <w:rPr>
          <w:rFonts w:ascii="Times New Roman" w:hAnsi="Times New Roman" w:cs="Times New Roman"/>
        </w:rPr>
        <w:t>While the restricted substances have been adapted from the EU RoHS Directive, the</w:t>
      </w:r>
      <w:r w:rsidR="00734796" w:rsidRPr="00592B91">
        <w:rPr>
          <w:rFonts w:ascii="Times New Roman" w:hAnsi="Times New Roman" w:cs="Times New Roman"/>
        </w:rPr>
        <w:t xml:space="preserve"> regulation applies to a narrower list of products: </w:t>
      </w:r>
      <w:r w:rsidRPr="00592B91">
        <w:rPr>
          <w:rFonts w:ascii="Times New Roman" w:hAnsi="Times New Roman" w:cs="Times New Roman"/>
        </w:rPr>
        <w:t xml:space="preserve"> </w:t>
      </w:r>
      <w:r w:rsidR="00734796" w:rsidRPr="00592B91">
        <w:rPr>
          <w:rFonts w:ascii="Times New Roman" w:hAnsi="Times New Roman" w:cs="Times New Roman"/>
        </w:rPr>
        <w:t>mobile phones; laptops; refrigerators; air conditioners; panel television sets; and washing machines.  Products excluded from the regulation include batteries and accumulators, and products designed for industrial use only.</w:t>
      </w:r>
    </w:p>
    <w:p w:rsidR="008F2C7D" w:rsidRPr="00592B91" w:rsidRDefault="008F2C7D" w:rsidP="009408F2">
      <w:pPr>
        <w:pStyle w:val="NormalWeb"/>
        <w:widowControl w:val="0"/>
        <w:spacing w:before="0" w:beforeAutospacing="0" w:after="0" w:afterAutospacing="0"/>
        <w:jc w:val="both"/>
        <w:rPr>
          <w:rFonts w:ascii="Times New Roman" w:hAnsi="Times New Roman" w:cs="Times New Roman"/>
        </w:rPr>
      </w:pPr>
    </w:p>
    <w:p w:rsidR="00C86C76" w:rsidRPr="00592B91" w:rsidRDefault="005B6704" w:rsidP="002A052A">
      <w:pPr>
        <w:pStyle w:val="NormalWeb"/>
        <w:keepNext/>
        <w:keepLines/>
        <w:spacing w:before="0" w:beforeAutospacing="0" w:after="0" w:afterAutospacing="0"/>
        <w:jc w:val="center"/>
        <w:rPr>
          <w:rFonts w:ascii="Times New Roman" w:hAnsi="Times New Roman" w:cs="Times New Roman"/>
          <w:b/>
        </w:rPr>
      </w:pPr>
      <w:r w:rsidRPr="00592B91">
        <w:rPr>
          <w:rFonts w:ascii="Times New Roman" w:hAnsi="Times New Roman" w:cs="Times New Roman"/>
          <w:b/>
        </w:rPr>
        <w:lastRenderedPageBreak/>
        <w:t>TAIWAN</w:t>
      </w:r>
    </w:p>
    <w:p w:rsidR="00C86C76" w:rsidRPr="00592B91" w:rsidRDefault="00C86C76" w:rsidP="002A052A">
      <w:pPr>
        <w:pStyle w:val="NormalWeb"/>
        <w:keepNext/>
        <w:keepLines/>
        <w:spacing w:before="0" w:beforeAutospacing="0" w:after="0" w:afterAutospacing="0"/>
        <w:jc w:val="both"/>
        <w:rPr>
          <w:rFonts w:ascii="Times New Roman" w:hAnsi="Times New Roman" w:cs="Times New Roman"/>
        </w:rPr>
      </w:pPr>
    </w:p>
    <w:p w:rsidR="0036529C" w:rsidRPr="00592B91" w:rsidRDefault="0036529C" w:rsidP="002A052A">
      <w:pPr>
        <w:pStyle w:val="NormalWeb"/>
        <w:keepNext/>
        <w:keepLines/>
        <w:spacing w:before="0" w:beforeAutospacing="0" w:after="0" w:afterAutospacing="0"/>
        <w:jc w:val="both"/>
        <w:rPr>
          <w:rFonts w:ascii="Times New Roman" w:hAnsi="Times New Roman" w:cs="Times New Roman"/>
          <w:b/>
        </w:rPr>
      </w:pPr>
      <w:r w:rsidRPr="00592B91">
        <w:rPr>
          <w:rFonts w:ascii="Times New Roman" w:hAnsi="Times New Roman" w:cs="Times New Roman"/>
          <w:b/>
        </w:rPr>
        <w:t xml:space="preserve">Taiwan OSHA Consults </w:t>
      </w:r>
      <w:proofErr w:type="gramStart"/>
      <w:r w:rsidRPr="00592B91">
        <w:rPr>
          <w:rFonts w:ascii="Times New Roman" w:hAnsi="Times New Roman" w:cs="Times New Roman"/>
          <w:b/>
        </w:rPr>
        <w:t>On</w:t>
      </w:r>
      <w:proofErr w:type="gramEnd"/>
      <w:r w:rsidRPr="00592B91">
        <w:rPr>
          <w:rFonts w:ascii="Times New Roman" w:hAnsi="Times New Roman" w:cs="Times New Roman"/>
          <w:b/>
        </w:rPr>
        <w:t xml:space="preserve"> Amendments To Inventory Of Existing Chemicals</w:t>
      </w:r>
    </w:p>
    <w:p w:rsidR="0036529C" w:rsidRPr="00592B91" w:rsidRDefault="0036529C" w:rsidP="009408F2">
      <w:pPr>
        <w:pStyle w:val="NormalWeb"/>
        <w:widowControl w:val="0"/>
        <w:spacing w:before="0" w:beforeAutospacing="0" w:after="0" w:afterAutospacing="0"/>
        <w:jc w:val="both"/>
        <w:rPr>
          <w:rFonts w:ascii="Times New Roman" w:hAnsi="Times New Roman" w:cs="Times New Roman"/>
        </w:rPr>
      </w:pPr>
    </w:p>
    <w:p w:rsidR="00447E33" w:rsidRPr="00592B91" w:rsidRDefault="0011777F" w:rsidP="009408F2">
      <w:pPr>
        <w:pStyle w:val="NormalWeb"/>
        <w:spacing w:before="0" w:beforeAutospacing="0" w:after="0" w:afterAutospacing="0"/>
        <w:rPr>
          <w:rFonts w:ascii="Times New Roman" w:hAnsi="Times New Roman" w:cs="Times New Roman"/>
        </w:rPr>
      </w:pPr>
      <w:r w:rsidRPr="00592B91">
        <w:rPr>
          <w:rFonts w:ascii="Times New Roman" w:hAnsi="Times New Roman" w:cs="Times New Roman"/>
        </w:rPr>
        <w:t xml:space="preserve">On September 9, 2016, Taiwan OSHA </w:t>
      </w:r>
      <w:hyperlink r:id="rId34" w:history="1">
        <w:r w:rsidRPr="00592B91">
          <w:rPr>
            <w:rStyle w:val="Hyperlink"/>
            <w:rFonts w:cs="Times New Roman"/>
          </w:rPr>
          <w:t>announced</w:t>
        </w:r>
      </w:hyperlink>
      <w:r w:rsidRPr="00592B91">
        <w:rPr>
          <w:rFonts w:ascii="Times New Roman" w:hAnsi="Times New Roman" w:cs="Times New Roman"/>
        </w:rPr>
        <w:t xml:space="preserve"> that c</w:t>
      </w:r>
      <w:r w:rsidR="0036529C" w:rsidRPr="00592B91">
        <w:rPr>
          <w:rFonts w:ascii="Times New Roman" w:hAnsi="Times New Roman" w:cs="Times New Roman"/>
        </w:rPr>
        <w:t xml:space="preserve">ompanies have until </w:t>
      </w:r>
      <w:r w:rsidR="0036529C" w:rsidRPr="00592B91">
        <w:rPr>
          <w:rFonts w:ascii="Times New Roman" w:hAnsi="Times New Roman" w:cs="Times New Roman"/>
          <w:b/>
        </w:rPr>
        <w:t>October 31, 2016</w:t>
      </w:r>
      <w:r w:rsidR="0036529C" w:rsidRPr="00592B91">
        <w:rPr>
          <w:rFonts w:ascii="Times New Roman" w:hAnsi="Times New Roman" w:cs="Times New Roman"/>
        </w:rPr>
        <w:t xml:space="preserve">, to amend entries on TCSI.  </w:t>
      </w:r>
      <w:r w:rsidR="00447E33" w:rsidRPr="00592B91">
        <w:rPr>
          <w:rFonts w:ascii="Times New Roman" w:hAnsi="Times New Roman" w:cs="Times New Roman"/>
        </w:rPr>
        <w:t>Companies may propose changes to:</w:t>
      </w:r>
    </w:p>
    <w:p w:rsidR="00447E33" w:rsidRPr="00592B91" w:rsidRDefault="00447E33" w:rsidP="009408F2">
      <w:pPr>
        <w:pStyle w:val="NormalWeb"/>
        <w:spacing w:before="0" w:beforeAutospacing="0" w:after="0" w:afterAutospacing="0"/>
        <w:rPr>
          <w:rFonts w:ascii="Times New Roman" w:hAnsi="Times New Roman" w:cs="Times New Roman"/>
        </w:rPr>
      </w:pPr>
    </w:p>
    <w:p w:rsidR="0011777F" w:rsidRPr="00592B91" w:rsidRDefault="00447E33" w:rsidP="009408F2">
      <w:pPr>
        <w:pStyle w:val="NormalWeb"/>
        <w:numPr>
          <w:ilvl w:val="0"/>
          <w:numId w:val="20"/>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 xml:space="preserve">CAS </w:t>
      </w:r>
      <w:r w:rsidR="00F53FBA" w:rsidRPr="00592B91">
        <w:rPr>
          <w:rFonts w:ascii="Times New Roman" w:hAnsi="Times New Roman" w:cs="Times New Roman"/>
        </w:rPr>
        <w:t>n</w:t>
      </w:r>
      <w:r w:rsidR="0011777F" w:rsidRPr="00592B91">
        <w:rPr>
          <w:rFonts w:ascii="Times New Roman" w:hAnsi="Times New Roman" w:cs="Times New Roman"/>
        </w:rPr>
        <w:t>umbers;</w:t>
      </w:r>
    </w:p>
    <w:p w:rsidR="00447E33" w:rsidRPr="00592B91" w:rsidRDefault="00447E33" w:rsidP="009408F2">
      <w:pPr>
        <w:pStyle w:val="NormalWeb"/>
        <w:spacing w:before="0" w:beforeAutospacing="0" w:after="0" w:afterAutospacing="0"/>
        <w:ind w:left="1440" w:right="720" w:hanging="720"/>
        <w:rPr>
          <w:rFonts w:ascii="Times New Roman" w:hAnsi="Times New Roman" w:cs="Times New Roman"/>
        </w:rPr>
      </w:pPr>
    </w:p>
    <w:p w:rsidR="0011777F" w:rsidRPr="00592B91" w:rsidRDefault="00447E33" w:rsidP="009408F2">
      <w:pPr>
        <w:pStyle w:val="NormalWeb"/>
        <w:numPr>
          <w:ilvl w:val="0"/>
          <w:numId w:val="20"/>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S</w:t>
      </w:r>
      <w:r w:rsidR="0011777F" w:rsidRPr="00592B91">
        <w:rPr>
          <w:rFonts w:ascii="Times New Roman" w:hAnsi="Times New Roman" w:cs="Times New Roman"/>
        </w:rPr>
        <w:t>erial numbers; and</w:t>
      </w:r>
    </w:p>
    <w:p w:rsidR="00447E33" w:rsidRPr="00592B91" w:rsidRDefault="00447E33" w:rsidP="009408F2">
      <w:pPr>
        <w:pStyle w:val="NormalWeb"/>
        <w:spacing w:before="0" w:beforeAutospacing="0" w:after="0" w:afterAutospacing="0"/>
        <w:ind w:left="1440" w:right="720" w:hanging="720"/>
        <w:rPr>
          <w:rFonts w:ascii="Times New Roman" w:hAnsi="Times New Roman" w:cs="Times New Roman"/>
        </w:rPr>
      </w:pPr>
    </w:p>
    <w:p w:rsidR="0011777F" w:rsidRPr="00592B91" w:rsidRDefault="00447E33" w:rsidP="009408F2">
      <w:pPr>
        <w:pStyle w:val="NormalWeb"/>
        <w:numPr>
          <w:ilvl w:val="0"/>
          <w:numId w:val="20"/>
        </w:numPr>
        <w:spacing w:before="0" w:beforeAutospacing="0" w:after="0" w:afterAutospacing="0"/>
        <w:ind w:left="1440" w:right="720" w:hanging="720"/>
        <w:rPr>
          <w:rFonts w:ascii="Times New Roman" w:hAnsi="Times New Roman" w:cs="Times New Roman"/>
        </w:rPr>
      </w:pPr>
      <w:r w:rsidRPr="00592B91">
        <w:rPr>
          <w:rFonts w:ascii="Times New Roman" w:hAnsi="Times New Roman" w:cs="Times New Roman"/>
        </w:rPr>
        <w:t>C</w:t>
      </w:r>
      <w:r w:rsidR="0011777F" w:rsidRPr="00592B91">
        <w:rPr>
          <w:rFonts w:ascii="Times New Roman" w:hAnsi="Times New Roman" w:cs="Times New Roman"/>
        </w:rPr>
        <w:t>hemical names.</w:t>
      </w:r>
    </w:p>
    <w:p w:rsidR="0011777F" w:rsidRPr="00592B91" w:rsidRDefault="0011777F" w:rsidP="009408F2">
      <w:pPr>
        <w:pStyle w:val="NormalWeb"/>
        <w:spacing w:before="0" w:beforeAutospacing="0" w:after="0" w:afterAutospacing="0"/>
        <w:rPr>
          <w:rFonts w:ascii="Times New Roman" w:hAnsi="Times New Roman" w:cs="Times New Roman"/>
        </w:rPr>
      </w:pPr>
    </w:p>
    <w:p w:rsidR="0036529C" w:rsidRPr="00592B91" w:rsidRDefault="0011777F" w:rsidP="009408F2">
      <w:pPr>
        <w:pStyle w:val="NormalWeb"/>
        <w:widowControl w:val="0"/>
        <w:spacing w:before="0" w:beforeAutospacing="0" w:after="0" w:afterAutospacing="0"/>
        <w:jc w:val="both"/>
        <w:rPr>
          <w:rFonts w:ascii="Times New Roman" w:hAnsi="Times New Roman" w:cs="Times New Roman"/>
        </w:rPr>
      </w:pPr>
      <w:r w:rsidRPr="00592B91">
        <w:rPr>
          <w:rFonts w:ascii="Times New Roman" w:hAnsi="Times New Roman" w:cs="Times New Roman"/>
        </w:rPr>
        <w:t xml:space="preserve">To propose a change, companies must submit a document indicating the </w:t>
      </w:r>
      <w:r w:rsidR="00447E33" w:rsidRPr="00592B91">
        <w:rPr>
          <w:rFonts w:ascii="Times New Roman" w:hAnsi="Times New Roman" w:cs="Times New Roman"/>
        </w:rPr>
        <w:t>current TCSI</w:t>
      </w:r>
      <w:r w:rsidRPr="00592B91">
        <w:rPr>
          <w:rFonts w:ascii="Times New Roman" w:hAnsi="Times New Roman" w:cs="Times New Roman"/>
        </w:rPr>
        <w:t xml:space="preserve"> entry and the requested correction, with justification and supporting documents. </w:t>
      </w:r>
      <w:r w:rsidR="00447E33" w:rsidRPr="00592B91">
        <w:rPr>
          <w:rFonts w:ascii="Times New Roman" w:hAnsi="Times New Roman" w:cs="Times New Roman"/>
        </w:rPr>
        <w:t xml:space="preserve"> </w:t>
      </w:r>
      <w:r w:rsidRPr="00592B91">
        <w:rPr>
          <w:rFonts w:ascii="Times New Roman" w:hAnsi="Times New Roman" w:cs="Times New Roman"/>
        </w:rPr>
        <w:t xml:space="preserve">Amendments will be accepted subject to approval by </w:t>
      </w:r>
      <w:r w:rsidR="00447E33" w:rsidRPr="00592B91">
        <w:rPr>
          <w:rFonts w:ascii="Times New Roman" w:hAnsi="Times New Roman" w:cs="Times New Roman"/>
        </w:rPr>
        <w:t>Taiwan</w:t>
      </w:r>
      <w:r w:rsidRPr="00592B91">
        <w:rPr>
          <w:rFonts w:ascii="Times New Roman" w:hAnsi="Times New Roman" w:cs="Times New Roman"/>
        </w:rPr>
        <w:t xml:space="preserve"> EPA.</w:t>
      </w:r>
    </w:p>
    <w:p w:rsidR="0036529C" w:rsidRPr="00592B91" w:rsidRDefault="0036529C" w:rsidP="009408F2">
      <w:pPr>
        <w:pStyle w:val="NormalWeb"/>
        <w:widowControl w:val="0"/>
        <w:spacing w:before="0" w:beforeAutospacing="0" w:after="0" w:afterAutospacing="0"/>
        <w:jc w:val="both"/>
        <w:rPr>
          <w:rFonts w:ascii="Times New Roman" w:hAnsi="Times New Roman" w:cs="Times New Roman"/>
        </w:rPr>
      </w:pPr>
    </w:p>
    <w:p w:rsidR="00DD4E76" w:rsidRPr="00592B91" w:rsidRDefault="00DD4E76" w:rsidP="009408F2">
      <w:pPr>
        <w:pStyle w:val="NormalWeb"/>
        <w:widowControl w:val="0"/>
        <w:spacing w:before="0" w:beforeAutospacing="0" w:after="0" w:afterAutospacing="0"/>
        <w:jc w:val="both"/>
        <w:rPr>
          <w:rFonts w:ascii="Times New Roman" w:hAnsi="Times New Roman" w:cs="Times New Roman"/>
          <w:b/>
        </w:rPr>
      </w:pPr>
      <w:r w:rsidRPr="00592B91">
        <w:rPr>
          <w:rFonts w:ascii="Times New Roman" w:hAnsi="Times New Roman" w:cs="Times New Roman"/>
          <w:b/>
        </w:rPr>
        <w:t xml:space="preserve">BSMI Will Stagger RoHS Deadlines </w:t>
      </w:r>
      <w:proofErr w:type="gramStart"/>
      <w:r w:rsidRPr="00592B91">
        <w:rPr>
          <w:rFonts w:ascii="Times New Roman" w:hAnsi="Times New Roman" w:cs="Times New Roman"/>
          <w:b/>
        </w:rPr>
        <w:t>For</w:t>
      </w:r>
      <w:proofErr w:type="gramEnd"/>
      <w:r w:rsidRPr="00592B91">
        <w:rPr>
          <w:rFonts w:ascii="Times New Roman" w:hAnsi="Times New Roman" w:cs="Times New Roman"/>
          <w:b/>
        </w:rPr>
        <w:t xml:space="preserve"> Product Compliance</w:t>
      </w:r>
    </w:p>
    <w:p w:rsidR="00DD4E76" w:rsidRPr="00592B91" w:rsidRDefault="00DD4E76" w:rsidP="009408F2">
      <w:pPr>
        <w:pStyle w:val="NormalWeb"/>
        <w:widowControl w:val="0"/>
        <w:spacing w:before="0" w:beforeAutospacing="0" w:after="0" w:afterAutospacing="0"/>
        <w:jc w:val="both"/>
        <w:rPr>
          <w:rFonts w:ascii="Times New Roman" w:hAnsi="Times New Roman" w:cs="Times New Roman"/>
        </w:rPr>
      </w:pPr>
    </w:p>
    <w:p w:rsidR="00DD4E76" w:rsidRPr="00592B91" w:rsidRDefault="00DD4E76" w:rsidP="009408F2">
      <w:pPr>
        <w:pStyle w:val="NormalWeb"/>
        <w:widowControl w:val="0"/>
        <w:spacing w:before="0" w:beforeAutospacing="0" w:after="0" w:afterAutospacing="0"/>
        <w:jc w:val="both"/>
        <w:rPr>
          <w:rFonts w:ascii="Times New Roman" w:hAnsi="Times New Roman" w:cs="Times New Roman"/>
        </w:rPr>
      </w:pPr>
      <w:r w:rsidRPr="00592B91">
        <w:rPr>
          <w:rFonts w:ascii="Times New Roman" w:hAnsi="Times New Roman" w:cs="Times New Roman"/>
        </w:rPr>
        <w:t>BSMI will implement CNS 15663, Taiwan’s RoHS-like regulation, using the following compliance deadlines:</w:t>
      </w:r>
    </w:p>
    <w:p w:rsidR="00DD4E76" w:rsidRPr="00592B91" w:rsidRDefault="00DD4E76" w:rsidP="009408F2">
      <w:pPr>
        <w:pStyle w:val="NormalWeb"/>
        <w:widowControl w:val="0"/>
        <w:spacing w:before="0" w:beforeAutospacing="0" w:after="0" w:afterAutospacing="0"/>
        <w:jc w:val="both"/>
        <w:rPr>
          <w:rFonts w:ascii="Times New Roman" w:hAnsi="Times New Roman" w:cs="Times New Roman"/>
        </w:rPr>
      </w:pPr>
    </w:p>
    <w:p w:rsidR="00DD4E76" w:rsidRPr="00592B91" w:rsidRDefault="00DD4E76" w:rsidP="009408F2">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b/>
        </w:rPr>
        <w:t>December 1, 2016</w:t>
      </w:r>
      <w:r w:rsidRPr="00592B91">
        <w:rPr>
          <w:rFonts w:ascii="Times New Roman" w:hAnsi="Times New Roman" w:cs="Times New Roman"/>
        </w:rPr>
        <w:t>:  Drinking fountains;</w:t>
      </w:r>
    </w:p>
    <w:p w:rsidR="00DD4E76" w:rsidRPr="00592B91" w:rsidRDefault="00DD4E76" w:rsidP="009408F2">
      <w:pPr>
        <w:pStyle w:val="NormalWeb"/>
        <w:widowControl w:val="0"/>
        <w:spacing w:before="0" w:beforeAutospacing="0" w:after="0" w:afterAutospacing="0"/>
        <w:ind w:left="1440" w:right="720" w:hanging="720"/>
        <w:jc w:val="both"/>
        <w:rPr>
          <w:rFonts w:ascii="Times New Roman" w:hAnsi="Times New Roman" w:cs="Times New Roman"/>
        </w:rPr>
      </w:pPr>
    </w:p>
    <w:p w:rsidR="00DD4E76" w:rsidRPr="00592B91" w:rsidRDefault="00DD4E76" w:rsidP="009408F2">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b/>
        </w:rPr>
        <w:t>July 1, 2017</w:t>
      </w:r>
      <w:r w:rsidRPr="00592B91">
        <w:rPr>
          <w:rFonts w:ascii="Times New Roman" w:hAnsi="Times New Roman" w:cs="Times New Roman"/>
        </w:rPr>
        <w:t>:  IT equipment, including automatic data processing machines, printers, photocopying machines, televisions, and monitors.  Also proposed for this date are projectors and lighting equipment, such as fluorescent tubes; and</w:t>
      </w:r>
    </w:p>
    <w:p w:rsidR="00DD4E76" w:rsidRPr="00592B91" w:rsidRDefault="00DD4E76" w:rsidP="009408F2">
      <w:pPr>
        <w:pStyle w:val="NormalWeb"/>
        <w:widowControl w:val="0"/>
        <w:spacing w:before="0" w:beforeAutospacing="0" w:after="0" w:afterAutospacing="0"/>
        <w:ind w:left="1440" w:right="720" w:hanging="720"/>
        <w:jc w:val="both"/>
        <w:rPr>
          <w:rFonts w:ascii="Times New Roman" w:hAnsi="Times New Roman" w:cs="Times New Roman"/>
        </w:rPr>
      </w:pPr>
    </w:p>
    <w:p w:rsidR="00DD4E76" w:rsidRPr="00592B91" w:rsidRDefault="00DD4E76" w:rsidP="009408F2">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592B91">
        <w:rPr>
          <w:rFonts w:ascii="Times New Roman" w:hAnsi="Times New Roman" w:cs="Times New Roman"/>
          <w:b/>
        </w:rPr>
        <w:t>January 1, 2018</w:t>
      </w:r>
      <w:r w:rsidRPr="00592B91">
        <w:rPr>
          <w:rFonts w:ascii="Times New Roman" w:hAnsi="Times New Roman" w:cs="Times New Roman"/>
        </w:rPr>
        <w:t>:  Word processors, including typewriters (43 items in total) and wireless items, such as keyboards, mice, and scanners (48 items in total).</w:t>
      </w:r>
    </w:p>
    <w:p w:rsidR="00DD4E76" w:rsidRPr="00592B91" w:rsidRDefault="00DD4E76" w:rsidP="009408F2">
      <w:pPr>
        <w:pStyle w:val="NormalWeb"/>
        <w:widowControl w:val="0"/>
        <w:spacing w:before="0" w:beforeAutospacing="0" w:after="0" w:afterAutospacing="0"/>
        <w:jc w:val="both"/>
        <w:rPr>
          <w:rFonts w:ascii="Times New Roman" w:hAnsi="Times New Roman" w:cs="Times New Roman"/>
        </w:rPr>
      </w:pPr>
    </w:p>
    <w:p w:rsidR="00DD4E76" w:rsidRPr="00592B91" w:rsidRDefault="00DD4E76" w:rsidP="009408F2">
      <w:pPr>
        <w:pStyle w:val="NormalWeb"/>
        <w:suppressAutoHyphens/>
        <w:spacing w:before="0" w:beforeAutospacing="0" w:after="0" w:afterAutospacing="0"/>
        <w:jc w:val="both"/>
        <w:rPr>
          <w:rFonts w:ascii="Times New Roman" w:hAnsi="Times New Roman" w:cs="Times New Roman"/>
          <w:lang w:eastAsia="zh-CN"/>
        </w:rPr>
      </w:pPr>
      <w:r w:rsidRPr="00592B91">
        <w:rPr>
          <w:rFonts w:ascii="Times New Roman" w:hAnsi="Times New Roman" w:cs="Times New Roman"/>
          <w:lang w:eastAsia="zh-CN"/>
        </w:rPr>
        <w:t xml:space="preserve">Once fully implemented, the standard will cover 102 electric and electronic products.  All products will need to be registered and obtain a registration of product certification, include the BSMI mark and RoHS label on packaging, and comply with the testing standard CNS 15050.  CNS </w:t>
      </w:r>
      <w:r w:rsidRPr="00592B91">
        <w:rPr>
          <w:rFonts w:ascii="Times New Roman" w:hAnsi="Times New Roman" w:cs="Times New Roman"/>
        </w:rPr>
        <w:t xml:space="preserve">15663 </w:t>
      </w:r>
      <w:r w:rsidRPr="00592B91">
        <w:rPr>
          <w:rFonts w:ascii="Times New Roman" w:hAnsi="Times New Roman" w:cs="Times New Roman"/>
          <w:lang w:eastAsia="zh-CN"/>
        </w:rPr>
        <w:t xml:space="preserve">restricts the same substances as EU RoHS -- lead, mercury, </w:t>
      </w:r>
      <w:r w:rsidRPr="00592B91">
        <w:rPr>
          <w:rFonts w:ascii="Times New Roman" w:hAnsi="Times New Roman" w:cs="Times New Roman"/>
          <w:b/>
          <w:lang w:eastAsia="zh-CN"/>
        </w:rPr>
        <w:t>cadmium</w:t>
      </w:r>
      <w:r w:rsidRPr="00592B91">
        <w:rPr>
          <w:rFonts w:ascii="Times New Roman" w:hAnsi="Times New Roman" w:cs="Times New Roman"/>
          <w:lang w:eastAsia="zh-CN"/>
        </w:rPr>
        <w:t xml:space="preserve">, hexavalent chromium, </w:t>
      </w:r>
      <w:proofErr w:type="spellStart"/>
      <w:r w:rsidRPr="00592B91">
        <w:rPr>
          <w:rFonts w:ascii="Times New Roman" w:hAnsi="Times New Roman" w:cs="Times New Roman"/>
          <w:lang w:eastAsia="zh-CN"/>
        </w:rPr>
        <w:t>polybrominated</w:t>
      </w:r>
      <w:proofErr w:type="spellEnd"/>
      <w:r w:rsidRPr="00592B91">
        <w:rPr>
          <w:rFonts w:ascii="Times New Roman" w:hAnsi="Times New Roman" w:cs="Times New Roman"/>
          <w:lang w:eastAsia="zh-CN"/>
        </w:rPr>
        <w:t xml:space="preserve"> biphenyls, and </w:t>
      </w:r>
      <w:proofErr w:type="spellStart"/>
      <w:r w:rsidRPr="00592B91">
        <w:rPr>
          <w:rFonts w:ascii="Times New Roman" w:hAnsi="Times New Roman" w:cs="Times New Roman"/>
          <w:lang w:eastAsia="zh-CN"/>
        </w:rPr>
        <w:t>polybrominated</w:t>
      </w:r>
      <w:proofErr w:type="spellEnd"/>
      <w:r w:rsidRPr="00592B91">
        <w:rPr>
          <w:rFonts w:ascii="Times New Roman" w:hAnsi="Times New Roman" w:cs="Times New Roman"/>
          <w:lang w:eastAsia="zh-CN"/>
        </w:rPr>
        <w:t xml:space="preserve"> diphenyl ethers.</w:t>
      </w:r>
    </w:p>
    <w:p w:rsidR="00DD4E76" w:rsidRPr="00592B91" w:rsidRDefault="00DD4E76" w:rsidP="009408F2">
      <w:pPr>
        <w:pStyle w:val="NormalWeb"/>
        <w:suppressAutoHyphens/>
        <w:spacing w:before="0" w:beforeAutospacing="0" w:after="0" w:afterAutospacing="0"/>
        <w:rPr>
          <w:rFonts w:ascii="Times New Roman" w:hAnsi="Times New Roman" w:cs="Times New Roman"/>
          <w:lang w:eastAsia="zh-CN"/>
        </w:rPr>
      </w:pPr>
    </w:p>
    <w:p w:rsidR="00C86C76" w:rsidRPr="00592B91" w:rsidRDefault="005B6704" w:rsidP="002A052A">
      <w:pPr>
        <w:pStyle w:val="NormalWeb"/>
        <w:keepNext/>
        <w:keepLines/>
        <w:spacing w:before="0" w:beforeAutospacing="0" w:after="0" w:afterAutospacing="0"/>
        <w:jc w:val="center"/>
        <w:rPr>
          <w:rFonts w:ascii="Times New Roman" w:hAnsi="Times New Roman" w:cs="Times New Roman"/>
          <w:b/>
        </w:rPr>
      </w:pPr>
      <w:r w:rsidRPr="00592B91">
        <w:rPr>
          <w:rFonts w:ascii="Times New Roman" w:hAnsi="Times New Roman" w:cs="Times New Roman"/>
          <w:b/>
        </w:rPr>
        <w:lastRenderedPageBreak/>
        <w:t>THAILAND</w:t>
      </w:r>
    </w:p>
    <w:p w:rsidR="00C86C76" w:rsidRPr="00592B91" w:rsidRDefault="00C86C76" w:rsidP="002A052A">
      <w:pPr>
        <w:pStyle w:val="NormalWeb"/>
        <w:keepNext/>
        <w:keepLines/>
        <w:spacing w:before="0" w:beforeAutospacing="0" w:after="0" w:afterAutospacing="0"/>
        <w:jc w:val="both"/>
        <w:rPr>
          <w:rFonts w:ascii="Times New Roman" w:hAnsi="Times New Roman" w:cs="Times New Roman"/>
        </w:rPr>
      </w:pPr>
    </w:p>
    <w:p w:rsidR="00C12805" w:rsidRPr="00592B91" w:rsidRDefault="00C12805" w:rsidP="002A052A">
      <w:pPr>
        <w:keepNext/>
        <w:keepLines/>
        <w:rPr>
          <w:b/>
        </w:rPr>
      </w:pPr>
      <w:r w:rsidRPr="00592B91">
        <w:rPr>
          <w:b/>
        </w:rPr>
        <w:t xml:space="preserve">Thailand Publishes Preliminary Inventory </w:t>
      </w:r>
      <w:proofErr w:type="gramStart"/>
      <w:r w:rsidRPr="00592B91">
        <w:rPr>
          <w:b/>
        </w:rPr>
        <w:t>Of</w:t>
      </w:r>
      <w:proofErr w:type="gramEnd"/>
      <w:r w:rsidRPr="00592B91">
        <w:rPr>
          <w:b/>
        </w:rPr>
        <w:t xml:space="preserve"> Existing Chemicals</w:t>
      </w:r>
    </w:p>
    <w:p w:rsidR="00C12805" w:rsidRPr="00592B91" w:rsidRDefault="00C12805" w:rsidP="002A052A">
      <w:pPr>
        <w:keepNext/>
        <w:keepLines/>
      </w:pPr>
    </w:p>
    <w:p w:rsidR="00C12805" w:rsidRPr="00592B91" w:rsidRDefault="00C12805" w:rsidP="009408F2">
      <w:r w:rsidRPr="00592B91">
        <w:t xml:space="preserve">DIW recently published a preliminary inventory of existing chemicals that it has since taken offline due to server issues.  The preliminary inventory combined the hazardous substance list; the most recent hazardous chemical notification list; chemicals listed in DIW’s consultation database; and the national single window list from the Customs Department.  DIW expects to publish a final inventory of existing chemicals in </w:t>
      </w:r>
      <w:r w:rsidRPr="00592B91">
        <w:rPr>
          <w:b/>
        </w:rPr>
        <w:t>2017</w:t>
      </w:r>
      <w:r w:rsidRPr="00592B91">
        <w:t xml:space="preserve">.  Chemicals not listed on the inventory would be considered new chemicals.  More information is available, in Thai, on </w:t>
      </w:r>
      <w:hyperlink r:id="rId35" w:history="1">
        <w:r w:rsidRPr="00592B91">
          <w:rPr>
            <w:rStyle w:val="Hyperlink"/>
          </w:rPr>
          <w:t>DIW’s website</w:t>
        </w:r>
      </w:hyperlink>
      <w:r w:rsidRPr="00592B91">
        <w:t>.</w:t>
      </w:r>
    </w:p>
    <w:p w:rsidR="00C12805" w:rsidRPr="00592B91" w:rsidRDefault="00C12805" w:rsidP="009408F2">
      <w:pPr>
        <w:pStyle w:val="NormalWeb"/>
        <w:widowControl w:val="0"/>
        <w:suppressAutoHyphens/>
        <w:spacing w:before="0" w:beforeAutospacing="0" w:after="0" w:afterAutospacing="0"/>
        <w:jc w:val="both"/>
        <w:rPr>
          <w:rFonts w:ascii="Times New Roman" w:hAnsi="Times New Roman" w:cs="Times New Roman"/>
          <w:lang w:eastAsia="zh-CN"/>
        </w:rPr>
      </w:pPr>
    </w:p>
    <w:p w:rsidR="00C86C76" w:rsidRPr="00592B91" w:rsidRDefault="005B6704" w:rsidP="009408F2">
      <w:pPr>
        <w:widowControl/>
        <w:jc w:val="center"/>
      </w:pPr>
      <w:r w:rsidRPr="00592B91">
        <w:t>*         *         *         *         *</w:t>
      </w:r>
    </w:p>
    <w:p w:rsidR="00C86C76" w:rsidRPr="00592B91" w:rsidRDefault="00C86C76" w:rsidP="009408F2">
      <w:pPr>
        <w:widowControl/>
        <w:rPr>
          <w:color w:val="000000"/>
        </w:rPr>
      </w:pPr>
    </w:p>
    <w:p w:rsidR="00C86C76" w:rsidRPr="00592B91" w:rsidRDefault="005B6704" w:rsidP="009408F2">
      <w:pPr>
        <w:widowControl/>
        <w:rPr>
          <w:color w:val="000000"/>
        </w:rPr>
      </w:pPr>
      <w:r w:rsidRPr="00592B91">
        <w:rPr>
          <w:color w:val="000000"/>
        </w:rPr>
        <w:t xml:space="preserve">Unless otherwise noted, if you have questions about any item summarized above, please call or e-mail Lynn L. Bergeson at (202) 557-3801 or </w:t>
      </w:r>
      <w:hyperlink r:id="rId36" w:history="1">
        <w:r w:rsidRPr="00592B91">
          <w:rPr>
            <w:rStyle w:val="Hyperlink"/>
          </w:rPr>
          <w:t>lbergeson@lawbc.com</w:t>
        </w:r>
      </w:hyperlink>
      <w:r w:rsidRPr="00592B91">
        <w:rPr>
          <w:color w:val="000000"/>
        </w:rPr>
        <w:t xml:space="preserve">, or Carla N. Hutton at (202) 557-3809 or </w:t>
      </w:r>
      <w:hyperlink r:id="rId37" w:history="1">
        <w:r w:rsidRPr="00592B91">
          <w:rPr>
            <w:rStyle w:val="Hyperlink"/>
          </w:rPr>
          <w:t>chutton@lawbc.com</w:t>
        </w:r>
      </w:hyperlink>
      <w:r w:rsidRPr="00592B91">
        <w:rPr>
          <w:color w:val="000000"/>
        </w:rPr>
        <w:t>.</w:t>
      </w:r>
    </w:p>
    <w:p w:rsidR="00C86C76" w:rsidRPr="00592B91" w:rsidRDefault="005B6704" w:rsidP="009408F2">
      <w:pPr>
        <w:pStyle w:val="Heading2"/>
        <w:keepNext w:val="0"/>
        <w:spacing w:before="0" w:after="0"/>
        <w:jc w:val="center"/>
        <w:rPr>
          <w:rFonts w:ascii="Times New Roman" w:hAnsi="Times New Roman" w:cs="Times New Roman"/>
          <w:i w:val="0"/>
          <w:sz w:val="24"/>
          <w:szCs w:val="24"/>
        </w:rPr>
      </w:pPr>
      <w:r w:rsidRPr="00592B91">
        <w:rPr>
          <w:rFonts w:ascii="Times New Roman" w:hAnsi="Times New Roman" w:cs="Times New Roman"/>
          <w:i w:val="0"/>
          <w:sz w:val="24"/>
          <w:szCs w:val="24"/>
        </w:rPr>
        <w:br w:type="page"/>
      </w:r>
      <w:r w:rsidRPr="00592B91">
        <w:rPr>
          <w:rFonts w:ascii="Times New Roman" w:hAnsi="Times New Roman" w:cs="Times New Roman"/>
          <w:i w:val="0"/>
          <w:sz w:val="24"/>
          <w:szCs w:val="24"/>
        </w:rPr>
        <w:lastRenderedPageBreak/>
        <w:t>ACRONYMS</w:t>
      </w:r>
    </w:p>
    <w:p w:rsidR="00C86C76" w:rsidRPr="00592B91" w:rsidRDefault="00C86C76" w:rsidP="009408F2"/>
    <w:p w:rsidR="00C86C76" w:rsidRPr="00592B91" w:rsidRDefault="00C86C76" w:rsidP="009408F2"/>
    <w:p w:rsidR="00B13DFC" w:rsidRPr="00592B91" w:rsidRDefault="00B13DFC" w:rsidP="009408F2">
      <w:pPr>
        <w:tabs>
          <w:tab w:val="left" w:pos="720"/>
        </w:tabs>
        <w:rPr>
          <w:rFonts w:eastAsia="Calibri"/>
          <w:szCs w:val="22"/>
        </w:rPr>
      </w:pPr>
      <w:proofErr w:type="gramStart"/>
      <w:r w:rsidRPr="00592B91">
        <w:rPr>
          <w:rFonts w:eastAsia="Calibri"/>
          <w:b/>
          <w:szCs w:val="22"/>
        </w:rPr>
        <w:t>B&amp;C</w:t>
      </w:r>
      <w:r w:rsidRPr="00592B91">
        <w:rPr>
          <w:rFonts w:eastAsia="Calibri"/>
          <w:szCs w:val="22"/>
        </w:rPr>
        <w:t xml:space="preserve"> -- Bergeson &amp; Campbell, P.C.</w:t>
      </w:r>
      <w:proofErr w:type="gramEnd"/>
    </w:p>
    <w:p w:rsidR="00B13DFC" w:rsidRPr="00592B91" w:rsidRDefault="00B13DFC" w:rsidP="009408F2">
      <w:pPr>
        <w:tabs>
          <w:tab w:val="left" w:pos="720"/>
        </w:tabs>
      </w:pPr>
      <w:r w:rsidRPr="00592B91">
        <w:rPr>
          <w:b/>
        </w:rPr>
        <w:t>BPA</w:t>
      </w:r>
      <w:r w:rsidRPr="00592B91">
        <w:t xml:space="preserve"> -- Bisphenol A</w:t>
      </w:r>
    </w:p>
    <w:p w:rsidR="00B13DFC" w:rsidRPr="00592B91" w:rsidRDefault="00B13DFC" w:rsidP="009408F2">
      <w:pPr>
        <w:tabs>
          <w:tab w:val="left" w:pos="720"/>
        </w:tabs>
        <w:rPr>
          <w:rFonts w:eastAsia="Calibri"/>
          <w:szCs w:val="22"/>
        </w:rPr>
      </w:pPr>
      <w:r w:rsidRPr="00592B91">
        <w:rPr>
          <w:rFonts w:eastAsia="Calibri"/>
          <w:b/>
          <w:szCs w:val="22"/>
        </w:rPr>
        <w:t>BSMI</w:t>
      </w:r>
      <w:r w:rsidRPr="00592B91">
        <w:rPr>
          <w:rFonts w:eastAsia="Calibri"/>
          <w:szCs w:val="22"/>
        </w:rPr>
        <w:t xml:space="preserve"> -- Bureau of Standards, Metrology, and Inspection</w:t>
      </w:r>
    </w:p>
    <w:p w:rsidR="00B13DFC" w:rsidRPr="00592B91" w:rsidRDefault="00B13DFC" w:rsidP="009408F2">
      <w:pPr>
        <w:tabs>
          <w:tab w:val="left" w:pos="720"/>
        </w:tabs>
        <w:rPr>
          <w:rFonts w:eastAsia="Calibri"/>
          <w:szCs w:val="22"/>
        </w:rPr>
      </w:pPr>
      <w:r w:rsidRPr="00592B91">
        <w:rPr>
          <w:rFonts w:eastAsia="Calibri"/>
          <w:b/>
          <w:szCs w:val="22"/>
        </w:rPr>
        <w:t>CAS</w:t>
      </w:r>
      <w:r w:rsidRPr="00592B91">
        <w:rPr>
          <w:rFonts w:eastAsia="Calibri"/>
          <w:szCs w:val="22"/>
        </w:rPr>
        <w:t xml:space="preserve"> -- Chemical Abstracts Service </w:t>
      </w:r>
    </w:p>
    <w:p w:rsidR="00B13DFC" w:rsidRPr="00592B91" w:rsidRDefault="00B13DFC" w:rsidP="009408F2">
      <w:pPr>
        <w:tabs>
          <w:tab w:val="left" w:pos="0"/>
          <w:tab w:val="left" w:pos="720"/>
        </w:tabs>
      </w:pPr>
      <w:r w:rsidRPr="00592B91">
        <w:rPr>
          <w:b/>
        </w:rPr>
        <w:t>CCR</w:t>
      </w:r>
      <w:r w:rsidRPr="00592B91">
        <w:t xml:space="preserve"> -- California Code of Regulations</w:t>
      </w:r>
    </w:p>
    <w:p w:rsidR="00B13DFC" w:rsidRPr="00592B91" w:rsidRDefault="00B13DFC" w:rsidP="009408F2">
      <w:pPr>
        <w:rPr>
          <w:rFonts w:eastAsia="Calibri"/>
          <w:szCs w:val="22"/>
        </w:rPr>
      </w:pPr>
      <w:r w:rsidRPr="00592B91">
        <w:rPr>
          <w:rFonts w:eastAsia="Calibri"/>
          <w:b/>
          <w:szCs w:val="22"/>
        </w:rPr>
        <w:t>CEPA</w:t>
      </w:r>
      <w:r w:rsidRPr="00592B91">
        <w:rPr>
          <w:rFonts w:eastAsia="Calibri"/>
          <w:szCs w:val="22"/>
        </w:rPr>
        <w:t xml:space="preserve"> -- Canadian Environmental Protection Act, 1999</w:t>
      </w:r>
    </w:p>
    <w:p w:rsidR="00B13DFC" w:rsidRPr="00592B91" w:rsidRDefault="00B13DFC" w:rsidP="009408F2">
      <w:pPr>
        <w:rPr>
          <w:rFonts w:eastAsia="Calibri"/>
          <w:szCs w:val="22"/>
        </w:rPr>
      </w:pPr>
      <w:r w:rsidRPr="00592B91">
        <w:rPr>
          <w:rFonts w:eastAsia="Calibri"/>
          <w:b/>
          <w:szCs w:val="22"/>
        </w:rPr>
        <w:t>CERCLA</w:t>
      </w:r>
      <w:r w:rsidRPr="00592B91">
        <w:rPr>
          <w:rFonts w:eastAsia="Calibri"/>
          <w:szCs w:val="22"/>
        </w:rPr>
        <w:t xml:space="preserve"> -- Comprehensive Environmental Response, Compensation, and Liability Act</w:t>
      </w:r>
    </w:p>
    <w:p w:rsidR="00B13DFC" w:rsidRPr="00592B91" w:rsidRDefault="00B13DFC" w:rsidP="009408F2">
      <w:r w:rsidRPr="00592B91">
        <w:rPr>
          <w:b/>
        </w:rPr>
        <w:t>CFS</w:t>
      </w:r>
      <w:r w:rsidRPr="00592B91">
        <w:t xml:space="preserve"> -- Center for Food Safety</w:t>
      </w:r>
    </w:p>
    <w:p w:rsidR="00B13DFC" w:rsidRPr="00592B91" w:rsidRDefault="00B13DFC" w:rsidP="009408F2">
      <w:r w:rsidRPr="00592B91">
        <w:rPr>
          <w:b/>
        </w:rPr>
        <w:t>DIW</w:t>
      </w:r>
      <w:r w:rsidRPr="00592B91">
        <w:t xml:space="preserve"> -- Department of Industrial Works</w:t>
      </w:r>
    </w:p>
    <w:p w:rsidR="00B13DFC" w:rsidRPr="00592B91" w:rsidRDefault="00B13DFC" w:rsidP="009408F2">
      <w:pPr>
        <w:tabs>
          <w:tab w:val="left" w:pos="0"/>
          <w:tab w:val="left" w:pos="720"/>
        </w:tabs>
      </w:pPr>
      <w:r w:rsidRPr="00592B91">
        <w:rPr>
          <w:b/>
        </w:rPr>
        <w:t>DSD</w:t>
      </w:r>
      <w:r w:rsidRPr="00592B91">
        <w:t xml:space="preserve"> -- </w:t>
      </w:r>
      <w:r w:rsidRPr="00592B91">
        <w:rPr>
          <w:color w:val="000000"/>
        </w:rPr>
        <w:t>Development Support Document</w:t>
      </w:r>
    </w:p>
    <w:p w:rsidR="00B13DFC" w:rsidRPr="00592B91" w:rsidRDefault="00B13DFC" w:rsidP="009408F2">
      <w:pPr>
        <w:tabs>
          <w:tab w:val="left" w:pos="0"/>
          <w:tab w:val="left" w:pos="720"/>
        </w:tabs>
      </w:pPr>
      <w:r w:rsidRPr="00592B91">
        <w:rPr>
          <w:b/>
        </w:rPr>
        <w:t>DSL</w:t>
      </w:r>
      <w:r w:rsidRPr="00592B91">
        <w:t xml:space="preserve"> -- Domestic Substances List</w:t>
      </w:r>
    </w:p>
    <w:p w:rsidR="00B13DFC" w:rsidRPr="00592B91" w:rsidRDefault="00B13DFC" w:rsidP="009408F2">
      <w:r w:rsidRPr="00592B91">
        <w:rPr>
          <w:b/>
        </w:rPr>
        <w:t>ECCC</w:t>
      </w:r>
      <w:r w:rsidRPr="00592B91">
        <w:t xml:space="preserve"> -- Environment and Climate Change Canada</w:t>
      </w:r>
    </w:p>
    <w:p w:rsidR="00B13DFC" w:rsidRPr="00592B91" w:rsidRDefault="00B13DFC" w:rsidP="009408F2">
      <w:pPr>
        <w:tabs>
          <w:tab w:val="left" w:pos="720"/>
        </w:tabs>
      </w:pPr>
      <w:r w:rsidRPr="00592B91">
        <w:rPr>
          <w:b/>
        </w:rPr>
        <w:t>ECHO</w:t>
      </w:r>
      <w:r w:rsidRPr="00592B91">
        <w:t xml:space="preserve"> -- Environmental Influences on Child Health Outcomes</w:t>
      </w:r>
    </w:p>
    <w:p w:rsidR="00B13DFC" w:rsidRPr="00592B91" w:rsidRDefault="00B13DFC" w:rsidP="009408F2">
      <w:pPr>
        <w:tabs>
          <w:tab w:val="left" w:pos="720"/>
        </w:tabs>
      </w:pPr>
      <w:r w:rsidRPr="00592B91">
        <w:rPr>
          <w:b/>
        </w:rPr>
        <w:t>EPA</w:t>
      </w:r>
      <w:r w:rsidRPr="00592B91">
        <w:t xml:space="preserve"> -- United States Environmental Protection Agency</w:t>
      </w:r>
    </w:p>
    <w:p w:rsidR="00B13DFC" w:rsidRPr="00592B91" w:rsidRDefault="00B13DFC" w:rsidP="009408F2">
      <w:pPr>
        <w:rPr>
          <w:rFonts w:eastAsia="Calibri"/>
          <w:szCs w:val="22"/>
        </w:rPr>
      </w:pPr>
      <w:r w:rsidRPr="00592B91">
        <w:rPr>
          <w:rFonts w:eastAsia="Calibri"/>
          <w:b/>
          <w:szCs w:val="22"/>
        </w:rPr>
        <w:t>ESDO</w:t>
      </w:r>
      <w:r w:rsidRPr="00592B91">
        <w:rPr>
          <w:rFonts w:eastAsia="Calibri"/>
          <w:szCs w:val="22"/>
        </w:rPr>
        <w:t xml:space="preserve"> -- Environment and Social Development Organization</w:t>
      </w:r>
    </w:p>
    <w:p w:rsidR="00B13DFC" w:rsidRPr="00592B91" w:rsidRDefault="00B13DFC" w:rsidP="009408F2">
      <w:pPr>
        <w:rPr>
          <w:rFonts w:eastAsia="Calibri"/>
          <w:szCs w:val="22"/>
        </w:rPr>
      </w:pPr>
      <w:r w:rsidRPr="00592B91">
        <w:rPr>
          <w:rFonts w:eastAsia="Calibri"/>
          <w:b/>
          <w:szCs w:val="22"/>
        </w:rPr>
        <w:t>EU</w:t>
      </w:r>
      <w:r w:rsidRPr="00592B91">
        <w:rPr>
          <w:rFonts w:eastAsia="Calibri"/>
          <w:szCs w:val="22"/>
        </w:rPr>
        <w:t xml:space="preserve"> -- </w:t>
      </w:r>
      <w:r w:rsidRPr="00592B91">
        <w:t>European Union</w:t>
      </w:r>
    </w:p>
    <w:p w:rsidR="00B13DFC" w:rsidRPr="00592B91" w:rsidRDefault="00B13DFC" w:rsidP="009408F2">
      <w:pPr>
        <w:tabs>
          <w:tab w:val="left" w:pos="720"/>
        </w:tabs>
      </w:pPr>
      <w:r w:rsidRPr="00592B91">
        <w:rPr>
          <w:b/>
        </w:rPr>
        <w:t>FY</w:t>
      </w:r>
      <w:r w:rsidRPr="00592B91">
        <w:t xml:space="preserve"> -- Fiscal Year</w:t>
      </w:r>
    </w:p>
    <w:p w:rsidR="00B13DFC" w:rsidRPr="00592B91" w:rsidRDefault="00B13DFC" w:rsidP="009408F2">
      <w:r w:rsidRPr="00592B91">
        <w:rPr>
          <w:b/>
        </w:rPr>
        <w:t>GHS</w:t>
      </w:r>
      <w:r w:rsidRPr="00592B91">
        <w:t xml:space="preserve"> -- Globally Harmonized System of Classification and Labeling of Chemicals</w:t>
      </w:r>
    </w:p>
    <w:p w:rsidR="00B13DFC" w:rsidRPr="00592B91" w:rsidRDefault="00B13DFC" w:rsidP="009408F2">
      <w:pPr>
        <w:rPr>
          <w:bCs/>
        </w:rPr>
      </w:pPr>
      <w:r w:rsidRPr="00592B91">
        <w:rPr>
          <w:b/>
          <w:bCs/>
        </w:rPr>
        <w:t>HC</w:t>
      </w:r>
      <w:r w:rsidRPr="00592B91">
        <w:rPr>
          <w:bCs/>
        </w:rPr>
        <w:t xml:space="preserve"> -- Health Canada</w:t>
      </w:r>
    </w:p>
    <w:p w:rsidR="00B13DFC" w:rsidRPr="00592B91" w:rsidRDefault="00B13DFC" w:rsidP="009408F2">
      <w:pPr>
        <w:tabs>
          <w:tab w:val="left" w:pos="720"/>
        </w:tabs>
      </w:pPr>
      <w:r w:rsidRPr="00592B91">
        <w:rPr>
          <w:b/>
        </w:rPr>
        <w:t>ICdA</w:t>
      </w:r>
      <w:r w:rsidRPr="00592B91">
        <w:t xml:space="preserve"> -- International Cadmium Association</w:t>
      </w:r>
    </w:p>
    <w:p w:rsidR="00B13DFC" w:rsidRPr="00592B91" w:rsidRDefault="00B13DFC" w:rsidP="009408F2">
      <w:pPr>
        <w:tabs>
          <w:tab w:val="left" w:pos="720"/>
        </w:tabs>
        <w:rPr>
          <w:rFonts w:eastAsia="Calibri"/>
          <w:szCs w:val="22"/>
        </w:rPr>
      </w:pPr>
      <w:r w:rsidRPr="00592B91">
        <w:rPr>
          <w:rFonts w:eastAsia="Calibri"/>
          <w:b/>
          <w:szCs w:val="22"/>
        </w:rPr>
        <w:t>ISA</w:t>
      </w:r>
      <w:r w:rsidRPr="00592B91">
        <w:rPr>
          <w:rFonts w:eastAsia="Calibri"/>
          <w:szCs w:val="22"/>
        </w:rPr>
        <w:t xml:space="preserve"> -- International Seabed Authority</w:t>
      </w:r>
    </w:p>
    <w:p w:rsidR="00B13DFC" w:rsidRPr="00592B91" w:rsidRDefault="00B13DFC" w:rsidP="009408F2">
      <w:pPr>
        <w:tabs>
          <w:tab w:val="left" w:pos="720"/>
        </w:tabs>
        <w:rPr>
          <w:rFonts w:eastAsia="Calibri"/>
          <w:szCs w:val="22"/>
        </w:rPr>
      </w:pPr>
      <w:r w:rsidRPr="00592B91">
        <w:rPr>
          <w:rFonts w:eastAsia="Calibri"/>
          <w:b/>
          <w:szCs w:val="22"/>
        </w:rPr>
        <w:t>IT</w:t>
      </w:r>
      <w:r w:rsidRPr="00592B91">
        <w:rPr>
          <w:rFonts w:eastAsia="Calibri"/>
          <w:szCs w:val="22"/>
        </w:rPr>
        <w:t xml:space="preserve"> -- Information Technology</w:t>
      </w:r>
    </w:p>
    <w:p w:rsidR="00B13DFC" w:rsidRPr="00592B91" w:rsidRDefault="00B13DFC" w:rsidP="009408F2">
      <w:pPr>
        <w:rPr>
          <w:bCs/>
        </w:rPr>
      </w:pPr>
      <w:proofErr w:type="gramStart"/>
      <w:r w:rsidRPr="00592B91">
        <w:rPr>
          <w:b/>
          <w:bCs/>
        </w:rPr>
        <w:t>kg</w:t>
      </w:r>
      <w:proofErr w:type="gramEnd"/>
      <w:r w:rsidRPr="00592B91">
        <w:rPr>
          <w:bCs/>
        </w:rPr>
        <w:t xml:space="preserve"> -- Kilogram</w:t>
      </w:r>
    </w:p>
    <w:p w:rsidR="00B13DFC" w:rsidRPr="00592B91" w:rsidRDefault="00B13DFC" w:rsidP="009408F2">
      <w:pPr>
        <w:rPr>
          <w:rFonts w:eastAsia="Calibri"/>
          <w:szCs w:val="22"/>
        </w:rPr>
      </w:pPr>
      <w:r w:rsidRPr="00592B91">
        <w:rPr>
          <w:rFonts w:eastAsia="Calibri"/>
          <w:b/>
          <w:szCs w:val="22"/>
        </w:rPr>
        <w:t>MDH</w:t>
      </w:r>
      <w:r w:rsidRPr="00592B91">
        <w:rPr>
          <w:rFonts w:eastAsia="Calibri"/>
          <w:szCs w:val="22"/>
        </w:rPr>
        <w:t xml:space="preserve"> -- Minnesota Department of Health</w:t>
      </w:r>
    </w:p>
    <w:p w:rsidR="00B13DFC" w:rsidRPr="00592B91" w:rsidRDefault="00B13DFC" w:rsidP="009408F2">
      <w:pPr>
        <w:rPr>
          <w:rFonts w:eastAsia="Calibri"/>
          <w:szCs w:val="22"/>
        </w:rPr>
      </w:pPr>
      <w:r w:rsidRPr="00592B91">
        <w:rPr>
          <w:rFonts w:eastAsia="Calibri"/>
          <w:b/>
          <w:szCs w:val="22"/>
        </w:rPr>
        <w:t>MDEP</w:t>
      </w:r>
      <w:r w:rsidRPr="00592B91">
        <w:rPr>
          <w:rFonts w:eastAsia="Calibri"/>
          <w:szCs w:val="22"/>
        </w:rPr>
        <w:t xml:space="preserve"> -- Maine Department of Environmental Protection</w:t>
      </w:r>
    </w:p>
    <w:p w:rsidR="00B13DFC" w:rsidRPr="00592B91" w:rsidRDefault="00B13DFC" w:rsidP="009408F2">
      <w:pPr>
        <w:rPr>
          <w:rFonts w:eastAsia="Calibri"/>
          <w:szCs w:val="22"/>
        </w:rPr>
      </w:pPr>
      <w:r w:rsidRPr="00592B91">
        <w:rPr>
          <w:rFonts w:eastAsia="Calibri"/>
          <w:b/>
          <w:szCs w:val="22"/>
        </w:rPr>
        <w:t>MEWR</w:t>
      </w:r>
      <w:r w:rsidRPr="00592B91">
        <w:rPr>
          <w:rFonts w:eastAsia="Calibri"/>
          <w:szCs w:val="22"/>
        </w:rPr>
        <w:t xml:space="preserve"> -- Ministry of the Environment and Water Resources</w:t>
      </w:r>
    </w:p>
    <w:p w:rsidR="00460EA4" w:rsidRPr="00592B91" w:rsidRDefault="00460EA4" w:rsidP="009408F2">
      <w:pPr>
        <w:tabs>
          <w:tab w:val="left" w:pos="720"/>
        </w:tabs>
      </w:pPr>
      <w:r w:rsidRPr="00592B91">
        <w:rPr>
          <w:b/>
        </w:rPr>
        <w:t>MOF</w:t>
      </w:r>
      <w:r w:rsidRPr="00592B91">
        <w:t xml:space="preserve"> -- Ministry of Finance</w:t>
      </w:r>
    </w:p>
    <w:p w:rsidR="00B13DFC" w:rsidRPr="00592B91" w:rsidRDefault="00B13DFC" w:rsidP="009408F2">
      <w:r w:rsidRPr="00592B91">
        <w:rPr>
          <w:b/>
        </w:rPr>
        <w:t>NGO</w:t>
      </w:r>
      <w:r w:rsidRPr="00592B91">
        <w:t xml:space="preserve"> -- Non-Governmental Organization</w:t>
      </w:r>
    </w:p>
    <w:p w:rsidR="00B13DFC" w:rsidRPr="00592B91" w:rsidRDefault="00B13DFC" w:rsidP="009408F2">
      <w:pPr>
        <w:tabs>
          <w:tab w:val="left" w:pos="720"/>
        </w:tabs>
      </w:pPr>
      <w:r w:rsidRPr="00592B91">
        <w:rPr>
          <w:b/>
        </w:rPr>
        <w:t>NIH</w:t>
      </w:r>
      <w:r w:rsidRPr="00592B91">
        <w:t xml:space="preserve"> -- National Institutes of Health</w:t>
      </w:r>
    </w:p>
    <w:p w:rsidR="00B13DFC" w:rsidRPr="00592B91" w:rsidRDefault="00B13DFC" w:rsidP="009408F2">
      <w:pPr>
        <w:tabs>
          <w:tab w:val="left" w:pos="720"/>
        </w:tabs>
      </w:pPr>
      <w:r w:rsidRPr="00592B91">
        <w:rPr>
          <w:b/>
        </w:rPr>
        <w:t>NPL</w:t>
      </w:r>
      <w:r w:rsidRPr="00592B91">
        <w:t xml:space="preserve"> -- National Priorities List</w:t>
      </w:r>
    </w:p>
    <w:p w:rsidR="00B13DFC" w:rsidRPr="00592B91" w:rsidRDefault="00B13DFC" w:rsidP="009408F2">
      <w:pPr>
        <w:tabs>
          <w:tab w:val="left" w:pos="720"/>
        </w:tabs>
      </w:pPr>
      <w:r w:rsidRPr="00592B91">
        <w:rPr>
          <w:b/>
        </w:rPr>
        <w:t>OAL</w:t>
      </w:r>
      <w:r w:rsidRPr="00592B91">
        <w:t xml:space="preserve"> -- </w:t>
      </w:r>
      <w:r w:rsidRPr="00592B91">
        <w:rPr>
          <w:rFonts w:eastAsia="Calibri"/>
          <w:szCs w:val="22"/>
        </w:rPr>
        <w:t>Office of Administrative Law</w:t>
      </w:r>
    </w:p>
    <w:p w:rsidR="00B13DFC" w:rsidRPr="00592B91" w:rsidRDefault="00B13DFC" w:rsidP="009408F2">
      <w:pPr>
        <w:tabs>
          <w:tab w:val="left" w:pos="720"/>
        </w:tabs>
      </w:pPr>
      <w:r w:rsidRPr="00592B91">
        <w:rPr>
          <w:b/>
        </w:rPr>
        <w:t>ODEQ</w:t>
      </w:r>
      <w:r w:rsidRPr="00592B91">
        <w:t xml:space="preserve"> -- Oregon Department of Environmental Quality</w:t>
      </w:r>
    </w:p>
    <w:p w:rsidR="00B13DFC" w:rsidRPr="00592B91" w:rsidRDefault="00B13DFC" w:rsidP="009408F2">
      <w:pPr>
        <w:tabs>
          <w:tab w:val="left" w:pos="720"/>
        </w:tabs>
      </w:pPr>
      <w:r w:rsidRPr="00592B91">
        <w:rPr>
          <w:b/>
        </w:rPr>
        <w:t>OEHHA</w:t>
      </w:r>
      <w:r w:rsidRPr="00592B91">
        <w:t xml:space="preserve"> -- Office of Environmental Health Hazard Assessment</w:t>
      </w:r>
    </w:p>
    <w:p w:rsidR="00B13DFC" w:rsidRPr="00592B91" w:rsidRDefault="00B13DFC" w:rsidP="009408F2">
      <w:pPr>
        <w:tabs>
          <w:tab w:val="left" w:pos="720"/>
        </w:tabs>
      </w:pPr>
      <w:r w:rsidRPr="00592B91">
        <w:rPr>
          <w:b/>
        </w:rPr>
        <w:t>OEQC</w:t>
      </w:r>
      <w:r w:rsidRPr="00592B91">
        <w:t xml:space="preserve"> -- Oregon Environmental Quality Commission</w:t>
      </w:r>
    </w:p>
    <w:p w:rsidR="00B13DFC" w:rsidRPr="00592B91" w:rsidRDefault="00B13DFC" w:rsidP="009408F2">
      <w:pPr>
        <w:tabs>
          <w:tab w:val="left" w:pos="720"/>
        </w:tabs>
      </w:pPr>
      <w:r w:rsidRPr="00592B91">
        <w:rPr>
          <w:b/>
        </w:rPr>
        <w:t>OIG</w:t>
      </w:r>
      <w:r w:rsidRPr="00592B91">
        <w:t xml:space="preserve"> -- Office of Inspector General</w:t>
      </w:r>
    </w:p>
    <w:p w:rsidR="00B13DFC" w:rsidRPr="00592B91" w:rsidRDefault="00B13DFC" w:rsidP="009408F2">
      <w:pPr>
        <w:tabs>
          <w:tab w:val="left" w:pos="720"/>
        </w:tabs>
      </w:pPr>
      <w:r w:rsidRPr="00592B91">
        <w:rPr>
          <w:b/>
        </w:rPr>
        <w:t>OSHA</w:t>
      </w:r>
      <w:r w:rsidRPr="00592B91">
        <w:t xml:space="preserve"> -- Occupational Safety and Health Administration</w:t>
      </w:r>
    </w:p>
    <w:p w:rsidR="00B13DFC" w:rsidRPr="00592B91" w:rsidRDefault="00B13DFC" w:rsidP="009408F2">
      <w:pPr>
        <w:tabs>
          <w:tab w:val="left" w:pos="720"/>
        </w:tabs>
      </w:pPr>
      <w:r w:rsidRPr="00592B91">
        <w:rPr>
          <w:b/>
        </w:rPr>
        <w:t>PBT</w:t>
      </w:r>
      <w:r w:rsidRPr="00592B91">
        <w:t xml:space="preserve"> -- Persistent, </w:t>
      </w:r>
      <w:proofErr w:type="spellStart"/>
      <w:r w:rsidRPr="00592B91">
        <w:t>Bioaccumulative</w:t>
      </w:r>
      <w:proofErr w:type="spellEnd"/>
      <w:r w:rsidRPr="00592B91">
        <w:t>, and Toxic</w:t>
      </w:r>
    </w:p>
    <w:p w:rsidR="00B13DFC" w:rsidRPr="00592B91" w:rsidRDefault="00B13DFC" w:rsidP="009408F2">
      <w:pPr>
        <w:tabs>
          <w:tab w:val="left" w:pos="720"/>
        </w:tabs>
      </w:pPr>
      <w:proofErr w:type="gramStart"/>
      <w:r w:rsidRPr="00592B91">
        <w:rPr>
          <w:b/>
        </w:rPr>
        <w:t>ppm</w:t>
      </w:r>
      <w:proofErr w:type="gramEnd"/>
      <w:r w:rsidRPr="00592B91">
        <w:t xml:space="preserve"> -- Part Per Million</w:t>
      </w:r>
    </w:p>
    <w:p w:rsidR="00B13DFC" w:rsidRPr="00592B91" w:rsidRDefault="00B13DFC" w:rsidP="009408F2">
      <w:pPr>
        <w:tabs>
          <w:tab w:val="left" w:pos="720"/>
        </w:tabs>
        <w:rPr>
          <w:rFonts w:eastAsia="Calibri"/>
          <w:szCs w:val="22"/>
        </w:rPr>
      </w:pPr>
      <w:r w:rsidRPr="00592B91">
        <w:rPr>
          <w:rFonts w:eastAsia="Calibri"/>
          <w:b/>
          <w:szCs w:val="22"/>
        </w:rPr>
        <w:t>RAPEX</w:t>
      </w:r>
      <w:r w:rsidRPr="00592B91">
        <w:rPr>
          <w:rFonts w:eastAsia="Calibri"/>
          <w:szCs w:val="22"/>
        </w:rPr>
        <w:t xml:space="preserve"> </w:t>
      </w:r>
      <w:proofErr w:type="gramStart"/>
      <w:r w:rsidRPr="00592B91">
        <w:rPr>
          <w:rFonts w:eastAsia="Calibri"/>
          <w:szCs w:val="22"/>
        </w:rPr>
        <w:t>--  Rapid</w:t>
      </w:r>
      <w:proofErr w:type="gramEnd"/>
      <w:r w:rsidRPr="00592B91">
        <w:rPr>
          <w:rFonts w:eastAsia="Calibri"/>
          <w:szCs w:val="22"/>
        </w:rPr>
        <w:t xml:space="preserve"> Alert System for Non-Food Dangerous Products</w:t>
      </w:r>
    </w:p>
    <w:p w:rsidR="00B13DFC" w:rsidRPr="00592B91" w:rsidRDefault="00B13DFC" w:rsidP="009408F2">
      <w:pPr>
        <w:tabs>
          <w:tab w:val="left" w:pos="720"/>
        </w:tabs>
        <w:rPr>
          <w:rFonts w:eastAsia="Calibri"/>
          <w:szCs w:val="22"/>
        </w:rPr>
      </w:pPr>
      <w:r w:rsidRPr="00592B91">
        <w:rPr>
          <w:rFonts w:eastAsia="Calibri"/>
          <w:b/>
          <w:szCs w:val="22"/>
        </w:rPr>
        <w:t>RCC</w:t>
      </w:r>
      <w:r w:rsidRPr="00592B91">
        <w:rPr>
          <w:rFonts w:eastAsia="Calibri"/>
          <w:szCs w:val="22"/>
        </w:rPr>
        <w:t xml:space="preserve"> -- Regulatory Cooperation Council</w:t>
      </w:r>
    </w:p>
    <w:p w:rsidR="00B13DFC" w:rsidRPr="00592B91" w:rsidRDefault="00B13DFC" w:rsidP="009408F2">
      <w:pPr>
        <w:tabs>
          <w:tab w:val="left" w:pos="720"/>
        </w:tabs>
        <w:rPr>
          <w:rFonts w:eastAsia="Calibri"/>
          <w:szCs w:val="22"/>
        </w:rPr>
      </w:pPr>
      <w:r w:rsidRPr="00592B91">
        <w:rPr>
          <w:rFonts w:eastAsia="Calibri"/>
          <w:b/>
          <w:szCs w:val="22"/>
        </w:rPr>
        <w:lastRenderedPageBreak/>
        <w:t>REACH</w:t>
      </w:r>
      <w:r w:rsidRPr="00592B91">
        <w:rPr>
          <w:rFonts w:eastAsia="Calibri"/>
          <w:szCs w:val="22"/>
        </w:rPr>
        <w:t xml:space="preserve"> -- </w:t>
      </w:r>
      <w:r w:rsidRPr="00592B91">
        <w:t>Registration, Evaluation, Authorization, and Restriction of Chemicals</w:t>
      </w:r>
    </w:p>
    <w:p w:rsidR="00B13DFC" w:rsidRPr="00592B91" w:rsidRDefault="00B13DFC" w:rsidP="009408F2">
      <w:pPr>
        <w:tabs>
          <w:tab w:val="left" w:pos="720"/>
        </w:tabs>
      </w:pPr>
      <w:r w:rsidRPr="00592B91">
        <w:rPr>
          <w:b/>
        </w:rPr>
        <w:t>RoHS</w:t>
      </w:r>
      <w:r w:rsidRPr="00592B91">
        <w:t xml:space="preserve"> -- Restriction of the Use of Certain Hazardous Substances in Electrical and Electronic Equipment</w:t>
      </w:r>
    </w:p>
    <w:p w:rsidR="00460EA4" w:rsidRPr="00592B91" w:rsidRDefault="00460EA4" w:rsidP="009408F2">
      <w:pPr>
        <w:tabs>
          <w:tab w:val="left" w:pos="720"/>
        </w:tabs>
      </w:pPr>
      <w:r w:rsidRPr="00592B91">
        <w:rPr>
          <w:b/>
        </w:rPr>
        <w:t>SAT</w:t>
      </w:r>
      <w:r w:rsidRPr="00592B91">
        <w:t xml:space="preserve"> -- State Administration of Taxation</w:t>
      </w:r>
    </w:p>
    <w:p w:rsidR="00B13DFC" w:rsidRPr="00592B91" w:rsidRDefault="00B13DFC" w:rsidP="009408F2">
      <w:pPr>
        <w:tabs>
          <w:tab w:val="left" w:pos="720"/>
        </w:tabs>
        <w:rPr>
          <w:rFonts w:eastAsia="Calibri"/>
          <w:color w:val="000000"/>
          <w:szCs w:val="22"/>
        </w:rPr>
      </w:pPr>
      <w:r w:rsidRPr="00592B91">
        <w:rPr>
          <w:rFonts w:eastAsia="Calibri"/>
          <w:b/>
          <w:color w:val="000000"/>
          <w:szCs w:val="22"/>
        </w:rPr>
        <w:t>SME</w:t>
      </w:r>
      <w:r w:rsidRPr="00592B91">
        <w:rPr>
          <w:rFonts w:eastAsia="Calibri"/>
          <w:color w:val="000000"/>
          <w:szCs w:val="22"/>
        </w:rPr>
        <w:t xml:space="preserve"> -- </w:t>
      </w:r>
      <w:r w:rsidRPr="00592B91">
        <w:rPr>
          <w:rFonts w:eastAsia="Calibri"/>
          <w:szCs w:val="22"/>
        </w:rPr>
        <w:t>Small- and Medium-Sized Enterprises</w:t>
      </w:r>
    </w:p>
    <w:p w:rsidR="00B13DFC" w:rsidRPr="00592B91" w:rsidRDefault="00B13DFC" w:rsidP="009408F2">
      <w:pPr>
        <w:tabs>
          <w:tab w:val="left" w:pos="720"/>
        </w:tabs>
        <w:rPr>
          <w:color w:val="000000"/>
        </w:rPr>
      </w:pPr>
      <w:r w:rsidRPr="00592B91">
        <w:rPr>
          <w:b/>
          <w:color w:val="000000"/>
        </w:rPr>
        <w:t>SVHC</w:t>
      </w:r>
      <w:r w:rsidRPr="00592B91">
        <w:rPr>
          <w:color w:val="000000"/>
        </w:rPr>
        <w:t xml:space="preserve"> -- Substances of Very High Concern</w:t>
      </w:r>
    </w:p>
    <w:p w:rsidR="00B13DFC" w:rsidRPr="00592B91" w:rsidRDefault="00B13DFC" w:rsidP="009408F2">
      <w:pPr>
        <w:tabs>
          <w:tab w:val="left" w:pos="720"/>
        </w:tabs>
        <w:rPr>
          <w:color w:val="000000"/>
        </w:rPr>
      </w:pPr>
      <w:r w:rsidRPr="00592B91">
        <w:rPr>
          <w:b/>
          <w:color w:val="000000"/>
        </w:rPr>
        <w:t>Taiwan EPA</w:t>
      </w:r>
      <w:r w:rsidRPr="00592B91">
        <w:rPr>
          <w:color w:val="000000"/>
        </w:rPr>
        <w:t xml:space="preserve"> -- Taiwan Environmental Protection Administration</w:t>
      </w:r>
    </w:p>
    <w:p w:rsidR="00B13DFC" w:rsidRPr="00592B91" w:rsidRDefault="00B13DFC" w:rsidP="009408F2">
      <w:pPr>
        <w:tabs>
          <w:tab w:val="left" w:pos="720"/>
        </w:tabs>
      </w:pPr>
      <w:r w:rsidRPr="00592B91">
        <w:rPr>
          <w:b/>
        </w:rPr>
        <w:t>Taiwan OSHA</w:t>
      </w:r>
      <w:r w:rsidRPr="00592B91">
        <w:t xml:space="preserve"> -- Taiwan Occupational Safety and Health Administration</w:t>
      </w:r>
    </w:p>
    <w:p w:rsidR="00B13DFC" w:rsidRPr="00592B91" w:rsidRDefault="00B13DFC" w:rsidP="009408F2">
      <w:pPr>
        <w:tabs>
          <w:tab w:val="left" w:pos="720"/>
        </w:tabs>
      </w:pPr>
      <w:r w:rsidRPr="00592B91">
        <w:rPr>
          <w:b/>
        </w:rPr>
        <w:t>TCEQ</w:t>
      </w:r>
      <w:r w:rsidRPr="00592B91">
        <w:t xml:space="preserve"> -- Texas Commission on Environmental Quality</w:t>
      </w:r>
    </w:p>
    <w:p w:rsidR="00B13DFC" w:rsidRPr="00592B91" w:rsidRDefault="00B13DFC" w:rsidP="009408F2">
      <w:pPr>
        <w:tabs>
          <w:tab w:val="left" w:pos="720"/>
        </w:tabs>
      </w:pPr>
      <w:r w:rsidRPr="00592B91">
        <w:rPr>
          <w:b/>
        </w:rPr>
        <w:t>TCSI</w:t>
      </w:r>
      <w:r w:rsidRPr="00592B91">
        <w:t xml:space="preserve"> -- Taiwan Chemical Substance Inventory</w:t>
      </w:r>
    </w:p>
    <w:p w:rsidR="00B13DFC" w:rsidRPr="00592B91" w:rsidRDefault="00B13DFC" w:rsidP="009408F2">
      <w:pPr>
        <w:tabs>
          <w:tab w:val="left" w:pos="720"/>
        </w:tabs>
      </w:pPr>
      <w:r w:rsidRPr="00592B91">
        <w:rPr>
          <w:b/>
        </w:rPr>
        <w:t>TSCA</w:t>
      </w:r>
      <w:r w:rsidRPr="00592B91">
        <w:t xml:space="preserve"> -- Toxic Substances Control Act</w:t>
      </w:r>
    </w:p>
    <w:p w:rsidR="00B13DFC" w:rsidRPr="00516213" w:rsidRDefault="00B13DFC" w:rsidP="009408F2">
      <w:pPr>
        <w:rPr>
          <w:rFonts w:eastAsia="Calibri"/>
          <w:szCs w:val="22"/>
        </w:rPr>
      </w:pPr>
      <w:proofErr w:type="spellStart"/>
      <w:proofErr w:type="gramStart"/>
      <w:r w:rsidRPr="00592B91">
        <w:rPr>
          <w:rFonts w:eastAsia="Calibri"/>
          <w:b/>
          <w:szCs w:val="22"/>
        </w:rPr>
        <w:t>vPvB</w:t>
      </w:r>
      <w:proofErr w:type="spellEnd"/>
      <w:proofErr w:type="gramEnd"/>
      <w:r w:rsidRPr="00592B91">
        <w:rPr>
          <w:rFonts w:eastAsia="Calibri"/>
          <w:szCs w:val="22"/>
        </w:rPr>
        <w:t xml:space="preserve"> -- </w:t>
      </w:r>
      <w:r w:rsidRPr="00592B91">
        <w:t xml:space="preserve">Very Persistent and Very </w:t>
      </w:r>
      <w:proofErr w:type="spellStart"/>
      <w:r w:rsidRPr="00592B91">
        <w:t>Bioaccumulative</w:t>
      </w:r>
      <w:proofErr w:type="spellEnd"/>
    </w:p>
    <w:sectPr w:rsidR="00B13DFC" w:rsidRPr="00516213">
      <w:headerReference w:type="even" r:id="rId38"/>
      <w:headerReference w:type="default" r:id="rId39"/>
      <w:footerReference w:type="even" r:id="rId40"/>
      <w:footerReference w:type="default" r:id="rId41"/>
      <w:headerReference w:type="first" r:id="rId42"/>
      <w:footerReference w:type="first" r:id="rId43"/>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96" w:rsidRDefault="00685A96">
      <w:r>
        <w:separator/>
      </w:r>
    </w:p>
  </w:endnote>
  <w:endnote w:type="continuationSeparator" w:id="0">
    <w:p w:rsidR="00685A96" w:rsidRDefault="006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FB" w:rsidRDefault="000C6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7" w:rsidRDefault="00B54AE3">
    <w:pPr>
      <w:pStyle w:val="Footer"/>
      <w:rPr>
        <w:noProof/>
      </w:rPr>
    </w:pPr>
    <w:r w:rsidRPr="00B54AE3">
      <w:rPr>
        <w:noProof/>
      </w:rPr>
      <w:t>{01002.001 / 111 / 00192220.DOCX}</w:t>
    </w:r>
  </w:p>
  <w:p w:rsidR="00060E47" w:rsidRDefault="00060E47">
    <w:pPr>
      <w:pStyle w:val="Footer"/>
      <w:rPr>
        <w:noProof/>
      </w:rPr>
    </w:pPr>
  </w:p>
  <w:p w:rsidR="00060E47" w:rsidRDefault="00060E47">
    <w:pPr>
      <w:pStyle w:val="Footer"/>
      <w:jc w:val="right"/>
      <w:rPr>
        <w:noProof/>
      </w:rPr>
    </w:pPr>
    <w:r>
      <w:rPr>
        <w:noProof/>
        <w:lang w:val="fr-BE" w:eastAsia="fr-BE"/>
      </w:rPr>
      <w:drawing>
        <wp:inline distT="0" distB="0" distL="0" distR="0" wp14:anchorId="15419F39" wp14:editId="11860A41">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7" w:rsidRDefault="00B54AE3">
    <w:pPr>
      <w:pStyle w:val="Footer"/>
      <w:rPr>
        <w:noProof/>
      </w:rPr>
    </w:pPr>
    <w:r w:rsidRPr="00B54AE3">
      <w:rPr>
        <w:noProof/>
      </w:rPr>
      <w:t>{01002.001 / 111 / 00192220.DOCX}</w:t>
    </w:r>
  </w:p>
  <w:p w:rsidR="00060E47" w:rsidRDefault="00060E47">
    <w:pPr>
      <w:pStyle w:val="Footer"/>
      <w:rPr>
        <w:noProof/>
      </w:rPr>
    </w:pPr>
  </w:p>
  <w:p w:rsidR="00060E47" w:rsidRDefault="00060E47">
    <w:pPr>
      <w:pStyle w:val="Footer"/>
      <w:rPr>
        <w:noProof/>
      </w:rPr>
    </w:pPr>
    <w:r>
      <w:rPr>
        <w:noProof/>
        <w:lang w:val="fr-BE" w:eastAsia="fr-BE"/>
      </w:rPr>
      <w:drawing>
        <wp:inline distT="0" distB="0" distL="0" distR="0" wp14:anchorId="74941110" wp14:editId="6F5F926A">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96" w:rsidRDefault="00685A96">
      <w:pPr>
        <w:rPr>
          <w:noProof/>
        </w:rPr>
      </w:pPr>
      <w:r>
        <w:rPr>
          <w:noProof/>
        </w:rPr>
        <w:separator/>
      </w:r>
    </w:p>
  </w:footnote>
  <w:footnote w:type="continuationSeparator" w:id="0">
    <w:p w:rsidR="00685A96" w:rsidRDefault="00685A96">
      <w:r>
        <w:continuationSeparator/>
      </w:r>
    </w:p>
  </w:footnote>
  <w:footnote w:id="1">
    <w:p w:rsidR="00060E47" w:rsidRDefault="00060E47">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FB" w:rsidRDefault="000C6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7" w:rsidRDefault="00060E47">
    <w:pPr>
      <w:pStyle w:val="Header"/>
      <w:jc w:val="right"/>
    </w:pPr>
    <w:r>
      <w:rPr>
        <w:noProof/>
        <w:lang w:val="fr-BE" w:eastAsia="fr-BE"/>
      </w:rPr>
      <w:drawing>
        <wp:inline distT="0" distB="0" distL="0" distR="0" wp14:anchorId="48188885" wp14:editId="703A3865">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060E47" w:rsidRDefault="00060E47">
    <w:pPr>
      <w:pStyle w:val="Header"/>
    </w:pPr>
  </w:p>
  <w:p w:rsidR="00060E47" w:rsidRDefault="00060E47">
    <w:pPr>
      <w:pStyle w:val="Header"/>
      <w:rPr>
        <w:rStyle w:val="PageNumber"/>
        <w:u w:val="single"/>
      </w:rPr>
    </w:pPr>
    <w:r>
      <w:rPr>
        <w:u w:val="single"/>
      </w:rPr>
      <w:t xml:space="preserve">The International Cadmium Association -- September 28, 2016, Issue 36,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E17288">
      <w:rPr>
        <w:rStyle w:val="PageNumber"/>
        <w:noProof/>
        <w:u w:val="single"/>
      </w:rPr>
      <w:t>2</w:t>
    </w:r>
    <w:r>
      <w:rPr>
        <w:rStyle w:val="PageNumber"/>
        <w:u w:val="single"/>
      </w:rPr>
      <w:fldChar w:fldCharType="end"/>
    </w:r>
  </w:p>
  <w:p w:rsidR="00060E47" w:rsidRDefault="00060E47">
    <w:pPr>
      <w:pStyle w:val="Header"/>
      <w:rPr>
        <w:rStyle w:val="PageNumber"/>
      </w:rPr>
    </w:pPr>
  </w:p>
  <w:p w:rsidR="00060E47" w:rsidRDefault="00060E47">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7" w:rsidRDefault="00060E47">
    <w:pPr>
      <w:pStyle w:val="Header"/>
      <w:jc w:val="right"/>
    </w:pPr>
    <w:r>
      <w:rPr>
        <w:noProof/>
        <w:lang w:val="fr-BE" w:eastAsia="fr-BE"/>
      </w:rPr>
      <w:drawing>
        <wp:inline distT="0" distB="0" distL="0" distR="0" wp14:anchorId="78B1E2AF" wp14:editId="5B5241F2">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060E47" w:rsidRDefault="00060E47">
    <w:pPr>
      <w:pStyle w:val="Header"/>
    </w:pPr>
  </w:p>
  <w:p w:rsidR="00060E47" w:rsidRDefault="00060E47">
    <w:pPr>
      <w:pStyle w:val="Header"/>
    </w:pPr>
  </w:p>
  <w:p w:rsidR="00060E47" w:rsidRDefault="00060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953"/>
    <w:multiLevelType w:val="hybridMultilevel"/>
    <w:tmpl w:val="230E51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A7259"/>
    <w:multiLevelType w:val="hybridMultilevel"/>
    <w:tmpl w:val="2DCEB3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9A433B"/>
    <w:multiLevelType w:val="hybridMultilevel"/>
    <w:tmpl w:val="DA6E6C0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C64A4"/>
    <w:multiLevelType w:val="hybridMultilevel"/>
    <w:tmpl w:val="5FE443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C1442"/>
    <w:multiLevelType w:val="hybridMultilevel"/>
    <w:tmpl w:val="C16E2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E056F"/>
    <w:multiLevelType w:val="hybridMultilevel"/>
    <w:tmpl w:val="37A63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CB227F"/>
    <w:multiLevelType w:val="hybridMultilevel"/>
    <w:tmpl w:val="1DEC4C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74A70"/>
    <w:multiLevelType w:val="hybridMultilevel"/>
    <w:tmpl w:val="FB9AD7C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47739"/>
    <w:multiLevelType w:val="hybridMultilevel"/>
    <w:tmpl w:val="4C34C69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84391"/>
    <w:multiLevelType w:val="hybridMultilevel"/>
    <w:tmpl w:val="CE181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A4DBA"/>
    <w:multiLevelType w:val="hybridMultilevel"/>
    <w:tmpl w:val="711EF92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8C53CF"/>
    <w:multiLevelType w:val="hybridMultilevel"/>
    <w:tmpl w:val="C5FA8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C3EBA"/>
    <w:multiLevelType w:val="hybridMultilevel"/>
    <w:tmpl w:val="4B2EB07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2196A"/>
    <w:multiLevelType w:val="hybridMultilevel"/>
    <w:tmpl w:val="3F12F54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C5F0D"/>
    <w:multiLevelType w:val="hybridMultilevel"/>
    <w:tmpl w:val="5EE278A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54CF8"/>
    <w:multiLevelType w:val="hybridMultilevel"/>
    <w:tmpl w:val="92CC068E"/>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B50DF8"/>
    <w:multiLevelType w:val="hybridMultilevel"/>
    <w:tmpl w:val="214CC11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173B71"/>
    <w:multiLevelType w:val="hybridMultilevel"/>
    <w:tmpl w:val="5900B3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3C7F9B"/>
    <w:multiLevelType w:val="hybridMultilevel"/>
    <w:tmpl w:val="5934A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8D2396"/>
    <w:multiLevelType w:val="hybridMultilevel"/>
    <w:tmpl w:val="EC226B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56F93"/>
    <w:multiLevelType w:val="hybridMultilevel"/>
    <w:tmpl w:val="63AE8D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14"/>
  </w:num>
  <w:num w:numId="5">
    <w:abstractNumId w:val="12"/>
  </w:num>
  <w:num w:numId="6">
    <w:abstractNumId w:val="2"/>
  </w:num>
  <w:num w:numId="7">
    <w:abstractNumId w:val="3"/>
  </w:num>
  <w:num w:numId="8">
    <w:abstractNumId w:val="20"/>
  </w:num>
  <w:num w:numId="9">
    <w:abstractNumId w:val="6"/>
  </w:num>
  <w:num w:numId="10">
    <w:abstractNumId w:val="8"/>
  </w:num>
  <w:num w:numId="11">
    <w:abstractNumId w:val="5"/>
  </w:num>
  <w:num w:numId="12">
    <w:abstractNumId w:val="13"/>
  </w:num>
  <w:num w:numId="13">
    <w:abstractNumId w:val="0"/>
  </w:num>
  <w:num w:numId="14">
    <w:abstractNumId w:val="15"/>
  </w:num>
  <w:num w:numId="15">
    <w:abstractNumId w:val="11"/>
  </w:num>
  <w:num w:numId="16">
    <w:abstractNumId w:val="9"/>
  </w:num>
  <w:num w:numId="17">
    <w:abstractNumId w:val="4"/>
  </w:num>
  <w:num w:numId="18">
    <w:abstractNumId w:val="17"/>
  </w:num>
  <w:num w:numId="19">
    <w:abstractNumId w:val="18"/>
  </w:num>
  <w:num w:numId="20">
    <w:abstractNumId w:val="19"/>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76"/>
    <w:rsid w:val="00060E47"/>
    <w:rsid w:val="00075BA3"/>
    <w:rsid w:val="000830E6"/>
    <w:rsid w:val="000C0E2E"/>
    <w:rsid w:val="000C60FB"/>
    <w:rsid w:val="001034DD"/>
    <w:rsid w:val="0011777F"/>
    <w:rsid w:val="00127E11"/>
    <w:rsid w:val="001D0E19"/>
    <w:rsid w:val="002144D8"/>
    <w:rsid w:val="002A052A"/>
    <w:rsid w:val="002D0367"/>
    <w:rsid w:val="00356844"/>
    <w:rsid w:val="00361A5E"/>
    <w:rsid w:val="0036529C"/>
    <w:rsid w:val="003758FF"/>
    <w:rsid w:val="003C26EE"/>
    <w:rsid w:val="003E0294"/>
    <w:rsid w:val="003F6124"/>
    <w:rsid w:val="004139A4"/>
    <w:rsid w:val="00431A49"/>
    <w:rsid w:val="00431C2E"/>
    <w:rsid w:val="00447E33"/>
    <w:rsid w:val="00456F65"/>
    <w:rsid w:val="00460EA4"/>
    <w:rsid w:val="00493C0A"/>
    <w:rsid w:val="004D6A09"/>
    <w:rsid w:val="0053073B"/>
    <w:rsid w:val="005427BD"/>
    <w:rsid w:val="00556CB4"/>
    <w:rsid w:val="0056249C"/>
    <w:rsid w:val="00570775"/>
    <w:rsid w:val="005723CC"/>
    <w:rsid w:val="0059290F"/>
    <w:rsid w:val="00592B91"/>
    <w:rsid w:val="005B6704"/>
    <w:rsid w:val="005D70A3"/>
    <w:rsid w:val="005E07E8"/>
    <w:rsid w:val="006377C5"/>
    <w:rsid w:val="00652C98"/>
    <w:rsid w:val="00685A96"/>
    <w:rsid w:val="00687251"/>
    <w:rsid w:val="006902DC"/>
    <w:rsid w:val="006D4006"/>
    <w:rsid w:val="006D4473"/>
    <w:rsid w:val="006E658D"/>
    <w:rsid w:val="006F2588"/>
    <w:rsid w:val="00734796"/>
    <w:rsid w:val="007953E5"/>
    <w:rsid w:val="007D07A2"/>
    <w:rsid w:val="008176A3"/>
    <w:rsid w:val="00834DEA"/>
    <w:rsid w:val="008A5018"/>
    <w:rsid w:val="008A6B2E"/>
    <w:rsid w:val="008B3E11"/>
    <w:rsid w:val="008D0A2A"/>
    <w:rsid w:val="008E2938"/>
    <w:rsid w:val="008E6A5F"/>
    <w:rsid w:val="008E7564"/>
    <w:rsid w:val="008F2C7D"/>
    <w:rsid w:val="00904F51"/>
    <w:rsid w:val="009152CC"/>
    <w:rsid w:val="00932912"/>
    <w:rsid w:val="009408F2"/>
    <w:rsid w:val="009469B9"/>
    <w:rsid w:val="009654FB"/>
    <w:rsid w:val="00A410F3"/>
    <w:rsid w:val="00A65AC9"/>
    <w:rsid w:val="00A94A2C"/>
    <w:rsid w:val="00AC395E"/>
    <w:rsid w:val="00AF37AF"/>
    <w:rsid w:val="00B13DFC"/>
    <w:rsid w:val="00B20323"/>
    <w:rsid w:val="00B50B40"/>
    <w:rsid w:val="00B54AE3"/>
    <w:rsid w:val="00B717B2"/>
    <w:rsid w:val="00B85DFD"/>
    <w:rsid w:val="00BC0EB1"/>
    <w:rsid w:val="00C000E9"/>
    <w:rsid w:val="00C0147C"/>
    <w:rsid w:val="00C12805"/>
    <w:rsid w:val="00C364A9"/>
    <w:rsid w:val="00C86C76"/>
    <w:rsid w:val="00CA360B"/>
    <w:rsid w:val="00CB2F66"/>
    <w:rsid w:val="00CE0E96"/>
    <w:rsid w:val="00CE42B8"/>
    <w:rsid w:val="00D172E1"/>
    <w:rsid w:val="00D17C70"/>
    <w:rsid w:val="00D92623"/>
    <w:rsid w:val="00DD09BA"/>
    <w:rsid w:val="00DD43BD"/>
    <w:rsid w:val="00DD4E76"/>
    <w:rsid w:val="00E17288"/>
    <w:rsid w:val="00E74E3F"/>
    <w:rsid w:val="00E87D78"/>
    <w:rsid w:val="00EA0C90"/>
    <w:rsid w:val="00ED1393"/>
    <w:rsid w:val="00ED5D2B"/>
    <w:rsid w:val="00EF00A4"/>
    <w:rsid w:val="00F05581"/>
    <w:rsid w:val="00F500B8"/>
    <w:rsid w:val="00F53FBA"/>
    <w:rsid w:val="00F61A0C"/>
    <w:rsid w:val="00F70C53"/>
    <w:rsid w:val="00F74FF6"/>
    <w:rsid w:val="00FA3321"/>
    <w:rsid w:val="00FE3031"/>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nancialservices.house.gov/choice/" TargetMode="External"/><Relationship Id="rId18" Type="http://schemas.openxmlformats.org/officeDocument/2006/relationships/hyperlink" Target="https://www.osha.gov/dsg/hazcom/rcc_work_plan.pdf" TargetMode="External"/><Relationship Id="rId26" Type="http://schemas.openxmlformats.org/officeDocument/2006/relationships/hyperlink" Target="http://www.tceq.texas.gov/assets/public/implementation/tox/dsd/facts/cadmium.pdf" TargetMode="External"/><Relationship Id="rId39" Type="http://schemas.openxmlformats.org/officeDocument/2006/relationships/header" Target="header2.xml"/><Relationship Id="rId21" Type="http://schemas.openxmlformats.org/officeDocument/2006/relationships/hyperlink" Target="http://www.maine.gov/dep/rules/index.html" TargetMode="External"/><Relationship Id="rId34" Type="http://schemas.openxmlformats.org/officeDocument/2006/relationships/hyperlink" Target="https://csnn.osha.gov.tw/content/home/News-in.aspx?enc=ft1Rvcxg9d5VT/vX5d4YGA==https://csnn.osha.gov.tw/content/home/News-in.aspx?enc=ft1Rvcxg9d5VT/vX5d4YGA=="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pa.gov/goldkingmine/one-year-after-gold-king-mine-incident-retrospective-epas-efforts-restore-and-protect" TargetMode="External"/><Relationship Id="rId29" Type="http://schemas.openxmlformats.org/officeDocument/2006/relationships/hyperlink" Target="http://www.ec.gc.ca/ese-ees/default.asp?lang=En&amp;n=28ABBAC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superfund/current-npl-updates-new-proposed-npl-sites-and-new-npl-sites" TargetMode="External"/><Relationship Id="rId24" Type="http://schemas.openxmlformats.org/officeDocument/2006/relationships/hyperlink" Target="http://www.deq.state.or.us/about/eqc/agendas/2016/09292016-StaffReport.pdf" TargetMode="External"/><Relationship Id="rId32" Type="http://schemas.openxmlformats.org/officeDocument/2006/relationships/hyperlink" Target="http://pib.nic.in/newsite/PrintRelease.aspx?relid=149713" TargetMode="External"/><Relationship Id="rId37" Type="http://schemas.openxmlformats.org/officeDocument/2006/relationships/hyperlink" Target="mailto:chutton@lawbc.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o.usa.gov/xg5nk" TargetMode="External"/><Relationship Id="rId23" Type="http://schemas.openxmlformats.org/officeDocument/2006/relationships/hyperlink" Target="http://www.health.state.mn.us/divs/eh/hazardous/topics/toxfreekids/chclist/chc2016add.pdf" TargetMode="External"/><Relationship Id="rId28" Type="http://schemas.openxmlformats.org/officeDocument/2006/relationships/hyperlink" Target="http://www.ec.gc.ca/lcpe-cepa/default.asp?lang=En&amp;n=FA3C8DBF-1" TargetMode="External"/><Relationship Id="rId36" Type="http://schemas.openxmlformats.org/officeDocument/2006/relationships/hyperlink" Target="mailto:lbergeson@lawbc.com" TargetMode="External"/><Relationship Id="rId10" Type="http://schemas.openxmlformats.org/officeDocument/2006/relationships/hyperlink" Target="http://www.flake.senate.gov/public/index.cfm/press-releases?ID=8FA420CD-7AF0-42C4-821E-DC319CDEBD4E" TargetMode="External"/><Relationship Id="rId19" Type="http://schemas.openxmlformats.org/officeDocument/2006/relationships/hyperlink" Target="http://oehha.ca.gov/proposition-65/crnr/notice-adoption-article-6-clear-and-reasonable-warnings" TargetMode="External"/><Relationship Id="rId31" Type="http://schemas.openxmlformats.org/officeDocument/2006/relationships/hyperlink" Target="http://www.gazette.gc.ca/rp-pr/p1/2016/2016-08-27/html/notice-avis-eng.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ergycommerce.house.gov/news-center/letters/letter-epa-administrator-mccarthy-hard-rock-mining-risk-management-and-financial" TargetMode="External"/><Relationship Id="rId14" Type="http://schemas.openxmlformats.org/officeDocument/2006/relationships/hyperlink" Target="http://financialservices.house.gov/UploadedFiles/Financial_CHOICE_Act_Comprehensive_Outline.pdf" TargetMode="External"/><Relationship Id="rId22" Type="http://schemas.openxmlformats.org/officeDocument/2006/relationships/hyperlink" Target="http://www.health.state.mn.us/divs/eh/hazardous/topics/toxfreekids/highconcern.html" TargetMode="External"/><Relationship Id="rId27" Type="http://schemas.openxmlformats.org/officeDocument/2006/relationships/hyperlink" Target="http://esdo.org/high-level-of-toxin-found-in-jewellery/" TargetMode="External"/><Relationship Id="rId30" Type="http://schemas.openxmlformats.org/officeDocument/2006/relationships/hyperlink" Target="http://nanotech.lawbc.com/2016/08/canada-begins-consultation-on-proposed-prioritization-approach-for-nanoscale-forms-of-dsl-substances/" TargetMode="External"/><Relationship Id="rId35" Type="http://schemas.openxmlformats.org/officeDocument/2006/relationships/hyperlink" Target="http://www.diw.go.th/hawk/content.php?mode=eservice"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nih.gov/news-events/news-releases/nih-awards-more-150-million-research-environmental-influences-child-health" TargetMode="External"/><Relationship Id="rId17" Type="http://schemas.openxmlformats.org/officeDocument/2006/relationships/hyperlink" Target="https://blog.epa.gov/blog/2016/08/a-reflection-on-the-gold-king-mine-incident/" TargetMode="External"/><Relationship Id="rId25" Type="http://schemas.openxmlformats.org/officeDocument/2006/relationships/hyperlink" Target="https://www.tceq.texas.gov/toxicology/dsd/final.html/" TargetMode="External"/><Relationship Id="rId33" Type="http://schemas.openxmlformats.org/officeDocument/2006/relationships/hyperlink" Target="http://ecowastecoalition.blogspot.com/2016/09/ecowaste-coalition-pitches-for-legal.html" TargetMode="External"/><Relationship Id="rId38" Type="http://schemas.openxmlformats.org/officeDocument/2006/relationships/header" Target="header1.xml"/><Relationship Id="rId20" Type="http://schemas.openxmlformats.org/officeDocument/2006/relationships/hyperlink" Target="http://www.lawbc.com/regulatory-developments/entry/proposition-65-oehha-adopts-revisions-to-its-proposition-65-warning-regulat"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E5D0-5DA2-4E37-A71B-C4BE5C63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6533</Words>
  <Characters>35934</Characters>
  <Application>Microsoft Office Word</Application>
  <DocSecurity>0</DocSecurity>
  <PresentationFormat/>
  <Lines>299</Lines>
  <Paragraphs>84</Paragraphs>
  <ScaleCrop>false</ScaleCrop>
  <HeadingPairs>
    <vt:vector size="2" baseType="variant">
      <vt:variant>
        <vt:lpstr>Title</vt:lpstr>
      </vt:variant>
      <vt:variant>
        <vt:i4>1</vt:i4>
      </vt:variant>
    </vt:vector>
  </HeadingPairs>
  <TitlesOfParts>
    <vt:vector size="1" baseType="lpstr">
      <vt:lpstr>September 2016 Update (00192220).DOCX</vt:lpstr>
    </vt:vector>
  </TitlesOfParts>
  <Company>Bergeson &amp; Campbell, P.C.</Company>
  <LinksUpToDate>false</LinksUpToDate>
  <CharactersWithSpaces>42383</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2016 Update (00192220).DOCX</dc:title>
  <dc:subject>01002.001 / 111 / 00192220.DOCX</dc:subject>
  <dc:creator>Barbara Christianson</dc:creator>
  <cp:lastModifiedBy>MGilles</cp:lastModifiedBy>
  <cp:revision>3</cp:revision>
  <cp:lastPrinted>2015-09-28T16:25:00Z</cp:lastPrinted>
  <dcterms:created xsi:type="dcterms:W3CDTF">2016-09-29T07:42:00Z</dcterms:created>
  <dcterms:modified xsi:type="dcterms:W3CDTF">2016-09-29T08:34:00Z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9/28/2016 6:17:29 PM</vt:lpwstr>
  </property>
</Properties>
</file>